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E75B6"/>
          <w:sz w:val="18"/>
          <w:szCs w:val="18"/>
        </w:rPr>
        <w:t xml:space="preserve">VALUE LATTICE  ·  GUIDES</w:t>
      </w:r>
    </w:p>
    <w:p>
      <w:pPr>
        <w:spacing w:after="120"/>
      </w:pPr>
      <w:r>
        <w:rPr>
          <w:rFonts w:ascii="Georgia" w:cs="Georgia" w:eastAsia="Georgia" w:hAnsi="Georgia"/>
          <w:b/>
          <w:bCs/>
          <w:color w:val="1F3A5F"/>
          <w:sz w:val="44"/>
          <w:szCs w:val="44"/>
        </w:rPr>
        <w:t xml:space="preserve">The Verification Line</w:t>
      </w:r>
    </w:p>
    <w:p>
      <w:pPr>
        <w:spacing w:after="140" w:line="300"/>
      </w:pPr>
      <w:r>
        <w:rPr>
          <w:color w:val="555555"/>
        </w:rPr>
        <w:t xml:space="preserve">A clause template. One sentence, written into the contract before signature, that tells the buyer how it will know the value arrived.</w:t>
      </w:r>
    </w:p>
    <w:p>
      <w:pPr>
        <w:pBdr>
          <w:left w:val="single" w:color="1F3A5F" w:sz="18" w:space="12"/>
        </w:pBdr>
        <w:spacing w:after="200" w:before="120" w:line="300"/>
        <w:ind w:left="360"/>
      </w:pPr>
      <w:r>
        <w:rPr>
          <w:b/>
          <w:bCs/>
          <w:color w:val="1F3A5F"/>
        </w:rPr>
        <w:t xml:space="preserve">Before signature, the contract states what evidence will show the value arrived, who produces that evidence, by when, and what follows if it does not.</w:t>
      </w:r>
    </w:p>
    <w:p>
      <w:pPr>
        <w:pStyle w:val="Heading2"/>
        <w:spacing w:after="120" w:before="260"/>
      </w:pPr>
      <w:r>
        <w:rPr>
          <w:rFonts w:ascii="Georgia" w:cs="Georgia" w:eastAsia="Georgia" w:hAnsi="Georgia"/>
          <w:b/>
          <w:bCs/>
          <w:color w:val="1F3A5F"/>
          <w:sz w:val="26"/>
          <w:szCs w:val="26"/>
        </w:rPr>
        <w:t xml:space="preserve">The four parts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260"/>
        <w:gridCol w:w="4200"/>
      </w:tblGrid>
      <w:tr>
        <w:trPr>
          <w:tblHeader/>
        </w:trPr>
        <w:tc>
          <w:tcPr>
            <w:tcW w:type="dxa" w:w="1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0EDE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Part</w:t>
            </w:r>
          </w:p>
        </w:tc>
        <w:tc>
          <w:tcPr>
            <w:tcW w:type="dxa" w:w="32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0EDE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What it requires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F0EDE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Example (replace with your own)</w:t>
            </w:r>
          </w:p>
        </w:tc>
      </w:tr>
      <w:tr>
        <w:tc>
          <w:tcPr>
            <w:tcW w:type="dxa" w:w="1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The evidence</w:t>
            </w:r>
          </w:p>
        </w:tc>
        <w:tc>
          <w:tcPr>
            <w:tcW w:type="dxa" w:w="32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Defined in the buyer’s terms, not the seller’s template.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555555"/>
                <w:sz w:val="20"/>
                <w:szCs w:val="20"/>
              </w:rPr>
              <w:t xml:space="preserve">Example: median time to resolve a priority-two incident, taken from the buyer’s own service desk records.</w:t>
            </w:r>
          </w:p>
        </w:tc>
      </w:tr>
      <w:tr>
        <w:tc>
          <w:tcPr>
            <w:tcW w:type="dxa" w:w="1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The producer</w:t>
            </w:r>
          </w:p>
        </w:tc>
        <w:tc>
          <w:tcPr>
            <w:tcW w:type="dxa" w:w="32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Named, so the obligation has an owner.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555555"/>
                <w:sz w:val="20"/>
                <w:szCs w:val="20"/>
              </w:rPr>
              <w:t xml:space="preserve">Example: the buyer’s service management lead, working from records the buyer holds.</w:t>
            </w:r>
          </w:p>
        </w:tc>
      </w:tr>
      <w:tr>
        <w:tc>
          <w:tcPr>
            <w:tcW w:type="dxa" w:w="1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The date</w:t>
            </w:r>
          </w:p>
        </w:tc>
        <w:tc>
          <w:tcPr>
            <w:tcW w:type="dxa" w:w="32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Fixed, so the question cannot drift into the renewal.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555555"/>
                <w:sz w:val="20"/>
                <w:szCs w:val="20"/>
              </w:rPr>
              <w:t xml:space="preserve">Example: measured at 90 and 180 days after go-live.</w:t>
            </w:r>
          </w:p>
        </w:tc>
      </w:tr>
      <w:tr>
        <w:tc>
          <w:tcPr>
            <w:tcW w:type="dxa" w:w="19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The consequence</w:t>
            </w:r>
          </w:p>
        </w:tc>
        <w:tc>
          <w:tcPr>
            <w:tcW w:type="dxa" w:w="32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Written, so the verdict has weight.</w:t>
            </w:r>
          </w:p>
        </w:tc>
        <w:tc>
          <w:tcPr>
            <w:tcW w:type="dxa" w:w="4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/>
                <w:iCs/>
                <w:color w:val="555555"/>
                <w:sz w:val="20"/>
                <w:szCs w:val="20"/>
              </w:rPr>
              <w:t xml:space="preserve">Example: if the 180-day measure misses the stated level, the service credit in Schedule 4 applies and the term does not renew automatically.</w:t>
            </w:r>
          </w:p>
        </w:tc>
      </w:tr>
    </w:tbl>
    <w:p>
      <w:pPr>
        <w:pStyle w:val="Heading2"/>
        <w:spacing w:after="120" w:before="260"/>
      </w:pPr>
      <w:r>
        <w:rPr>
          <w:rFonts w:ascii="Georgia" w:cs="Georgia" w:eastAsia="Georgia" w:hAnsi="Georgia"/>
          <w:b/>
          <w:bCs/>
          <w:color w:val="1F3A5F"/>
          <w:sz w:val="26"/>
          <w:szCs w:val="26"/>
        </w:rPr>
        <w:t xml:space="preserve">Sample wording</w:t>
      </w:r>
    </w:p>
    <w:p>
      <w:pPr>
        <w:pBdr>
          <w:top w:val="single" w:color="8C8C8C" w:sz="4"/>
          <w:bottom w:val="single" w:color="8C8C8C" w:sz="4"/>
          <w:left w:val="single" w:color="8C8C8C" w:sz="4"/>
          <w:right w:val="single" w:color="8C8C8C" w:sz="4"/>
        </w:pBdr>
        <w:shd w:fill="F7F5F0" w:color="auto" w:val="clear"/>
        <w:spacing w:after="140" w:line="300"/>
      </w:pPr>
      <w:r>
        <w:rPr>
          <w:b/>
          <w:bCs/>
        </w:rPr>
        <w:t xml:space="preserve">Value verification. </w:t>
      </w:r>
      <w:r>
        <w:t xml:space="preserve">The Customer will assess whether </w:t>
      </w:r>
      <w:r>
        <w:rPr>
          <w:highlight w:val="yellow"/>
          <w:highlightCs w:val="yellow"/>
        </w:rPr>
        <w:t xml:space="preserve">[stated outcome]</w:t>
      </w:r>
      <w:r>
        <w:t xml:space="preserve"> has been achieved using </w:t>
      </w:r>
      <w:r>
        <w:rPr>
          <w:highlight w:val="yellow"/>
          <w:highlightCs w:val="yellow"/>
        </w:rPr>
        <w:t xml:space="preserve">[evidence]</w:t>
      </w:r>
      <w:r>
        <w:t xml:space="preserve">, produced by </w:t>
      </w:r>
      <w:r>
        <w:rPr>
          <w:highlight w:val="yellow"/>
          <w:highlightCs w:val="yellow"/>
        </w:rPr>
        <w:t xml:space="preserve">[named party]</w:t>
      </w:r>
      <w:r>
        <w:t xml:space="preserve"> from records held by the Customer, at </w:t>
      </w:r>
      <w:r>
        <w:rPr>
          <w:highlight w:val="yellow"/>
          <w:highlightCs w:val="yellow"/>
        </w:rPr>
        <w:t xml:space="preserve">[dates]</w:t>
      </w:r>
      <w:r>
        <w:t xml:space="preserve">. If the assessment shows the outcome was not achieved, </w:t>
      </w:r>
      <w:r>
        <w:rPr>
          <w:highlight w:val="yellow"/>
          <w:highlightCs w:val="yellow"/>
        </w:rPr>
        <w:t xml:space="preserve">[consequence]</w:t>
      </w:r>
      <w:r>
        <w:t xml:space="preserve">. The Supplier will give the Customer reasonable access to the data the assessment needs.</w:t>
      </w:r>
    </w:p>
    <w:p>
      <w:pPr>
        <w:spacing w:after="140" w:line="300"/>
      </w:pPr>
      <w:r>
        <w:rPr>
          <w:i/>
          <w:iCs/>
          <w:color w:val="555555"/>
        </w:rPr>
        <w:t xml:space="preserve">Illustrative wording only, not legal advice. Have counsel adapt it to the contract and jurisdiction.</w:t>
      </w:r>
    </w:p>
    <w:p>
      <w:pPr>
        <w:pStyle w:val="Heading2"/>
        <w:spacing w:after="120" w:before="260"/>
      </w:pPr>
      <w:r>
        <w:rPr>
          <w:rFonts w:ascii="Georgia" w:cs="Georgia" w:eastAsia="Georgia" w:hAnsi="Georgia"/>
          <w:b/>
          <w:bCs/>
          <w:color w:val="1F3A5F"/>
          <w:sz w:val="26"/>
          <w:szCs w:val="26"/>
        </w:rPr>
        <w:t xml:space="preserve">Fill in before the RFP goes out</w:t>
      </w:r>
    </w:p>
    <w:p>
      <w:pPr>
        <w:spacing w:after="140" w:line="300"/>
      </w:pPr>
      <w:r>
        <w:t xml:space="preserve">Complete these five entries internally, then carry them into the clause above. The business owner who will answer for the result writes the outcome and the evidence; the dates and the consequence are agreed with procurement and counsel.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rHeight w:val="56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Stated outcome</w:t>
            </w:r>
          </w:p>
        </w:tc>
        <w:tc>
          <w:tcPr>
            <w:tcW w:type="dxa" w:w="6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Evidence</w:t>
            </w:r>
          </w:p>
        </w:tc>
        <w:tc>
          <w:tcPr>
            <w:tcW w:type="dxa" w:w="6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Named party</w:t>
            </w:r>
          </w:p>
        </w:tc>
        <w:tc>
          <w:tcPr>
            <w:tcW w:type="dxa" w:w="6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Dates</w:t>
            </w:r>
          </w:p>
        </w:tc>
        <w:tc>
          <w:tcPr>
            <w:tcW w:type="dxa" w:w="6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Consequence</w:t>
            </w:r>
          </w:p>
        </w:tc>
        <w:tc>
          <w:tcPr>
            <w:tcW w:type="dxa" w:w="676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60"/>
      </w:pPr>
      <w:r>
        <w:rPr>
          <w:rFonts w:ascii="Georgia" w:cs="Georgia" w:eastAsia="Georgia" w:hAnsi="Georgia"/>
          <w:b/>
          <w:bCs/>
          <w:color w:val="1F3A5F"/>
          <w:sz w:val="26"/>
          <w:szCs w:val="26"/>
        </w:rPr>
        <w:t xml:space="preserve">Why it goes in before signature</w:t>
      </w:r>
    </w:p>
    <w:p>
      <w:pPr>
        <w:spacing w:after="140" w:line="300"/>
      </w:pPr>
      <w:r>
        <w:t xml:space="preserve">While the supplier is still competing for the award, a verification term costs the buyer almost nothing to ask for. After the award, the same request is a favor asked of the party being measured, and it comes back as a pricing lever at renewal.</w:t>
      </w:r>
    </w:p>
    <w:p>
      <w:pPr>
        <w:spacing w:after="140" w:line="300"/>
      </w:pPr>
      <w:r>
        <w:t xml:space="preserve">A supplier that delivers gets its result on the buyer’s own record, in evidence the buyer produced and cannot dispute, on a date fixed before the renewal conversation starts.</w:t>
      </w:r>
    </w:p>
    <w:p>
      <w:pPr>
        <w:spacing w:before="240"/>
      </w:pPr>
      <w:r>
        <w:rPr>
          <w:color w:val="555555"/>
          <w:sz w:val="18"/>
          <w:szCs w:val="18"/>
        </w:rPr>
        <w:t xml:space="preserve">Free to use and adapt under the Creative Commons Attribution 4.0 International license (CC BY 4.0). Please credit: </w:t>
      </w:r>
      <w:r>
        <w:rPr>
          <w:color w:val="555555"/>
          <w:sz w:val="18"/>
          <w:szCs w:val="18"/>
        </w:rPr>
        <w:t xml:space="preserve">Brey, Michael. “The Verification Line.” Value Lattice, 2026. https://valuelattice.com/the-verification-line/</w:t>
      </w:r>
    </w:p>
    <w:sectPr>
      <w:footerReference w:type="default" r:id="rId7"/>
      <w:pgSz w:w="12240" w:h="15840" w:orient="portrait"/>
      <w:pgMar w:top="1260" w:right="1440" w:bottom="126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55555"/>
        <w:sz w:val="16"/>
        <w:szCs w:val="16"/>
      </w:rPr>
      <w:t xml:space="preserve">The Verification Line. From The Value Standard by Michael Brey. Licensed CC BY 4.0. valuelattice.com/the-verification-line/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Verification Line: clause template</dc:title>
  <dc:subject>Contract clause template</dc:subject>
  <dc:creator>Michael Brey</dc:creator>
  <cp:keywords>The Value Standard; Value Lattice; verification; contract</cp:keywords>
  <dc:description>The Verification Line clause template, from The Value Standard by Michael Brey. Licensed CC BY 4.0.</dc:description>
  <cp:lastModifiedBy>Michael Brey</cp:lastModifiedBy>
  <cp:revision>1</cp:revision>
  <dcterms:created xsi:type="dcterms:W3CDTF">2026-10-06T19:20:58.628Z</dcterms:created>
  <dcterms:modified xsi:type="dcterms:W3CDTF">2026-10-06T19:20:58.636Z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