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rfv-response-format"/>
      <w:r>
        <w:t xml:space="preserve">RFV Response Format</w:t>
      </w:r>
      <w:bookmarkEnd w:id="20"/>
    </w:p>
    <w:p>
      <w:pPr>
        <w:pStyle w:val="Heading3"/>
      </w:pPr>
      <w:bookmarkStart w:id="21" w:name="X2bed63ac11cdc849a1d6bce283d7acbc6aa819f"/>
      <w:r>
        <w:t xml:space="preserve">Issued by the buyer to vendors · August 2026</w:t>
      </w:r>
      <w:bookmarkEnd w:id="21"/>
    </w:p>
    <w:p>
      <w:pPr>
        <w:pStyle w:val="FirstParagraph"/>
      </w:pPr>
      <w:r>
        <w:rPr>
          <w:b/>
        </w:rPr>
        <w:t xml:space="preserve">Part of The Value Standard. Free to use, copy, adapt and issue.</w:t>
      </w:r>
      <w:r>
        <w:t xml:space="preserve"> </w:t>
      </w:r>
      <w:r>
        <w:t xml:space="preserve">Published by Value Lattice · valuelattice.com</w:t>
      </w:r>
      <w:r>
        <w:t xml:space="preserve"> </w:t>
      </w:r>
      <w:r>
        <w:t xml:space="preserve">Licensed CC BY 4.0. Keep the attribution line and this document travels with its source.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note-to-the-buyer-remove-before-issue"/>
      <w:r>
        <w:t xml:space="preserve">Note to the buyer, remove before issue</w:t>
      </w:r>
      <w:bookmarkEnd w:id="22"/>
    </w:p>
    <w:p>
      <w:pPr>
        <w:pStyle w:val="FirstParagraph"/>
      </w:pPr>
      <w:r>
        <w:t xml:space="preserve">This is not a document you fill in. It is the form you require vendors to complete, and its</w:t>
      </w:r>
      <w:r>
        <w:t xml:space="preserve"> </w:t>
      </w:r>
      <w:r>
        <w:t xml:space="preserve">purpose is to make responses comparable. Two proposals written in two different structures</w:t>
      </w:r>
      <w:r>
        <w:t xml:space="preserve"> </w:t>
      </w:r>
      <w:r>
        <w:t xml:space="preserve">cannot be scored against each other, and the vendor who writes the better-organized document</w:t>
      </w:r>
      <w:r>
        <w:t xml:space="preserve"> </w:t>
      </w:r>
      <w:r>
        <w:t xml:space="preserve">wins on organization.</w:t>
      </w:r>
    </w:p>
    <w:p>
      <w:pPr>
        <w:pStyle w:val="BodyText"/>
      </w:pPr>
      <w:r>
        <w:t xml:space="preserve">Three things to do before you issue it:</w:t>
      </w:r>
    </w:p>
    <w:p>
      <w:pPr>
        <w:pStyle w:val="Compact"/>
        <w:numPr>
          <w:ilvl w:val="0"/>
          <w:numId w:val="1001"/>
        </w:numPr>
      </w:pPr>
      <w:r>
        <w:t xml:space="preserve">Pre-populate every metric table with your own Section 2 metrics, so vendors cannot</w:t>
      </w:r>
      <w:r>
        <w:t xml:space="preserve"> </w:t>
      </w:r>
      <w:r>
        <w:t xml:space="preserve">substitute their own.</w:t>
      </w:r>
    </w:p>
    <w:p>
      <w:pPr>
        <w:pStyle w:val="Compact"/>
        <w:numPr>
          <w:ilvl w:val="0"/>
          <w:numId w:val="1001"/>
        </w:numPr>
      </w:pPr>
      <w:r>
        <w:t xml:space="preserve">Delete this note.</w:t>
      </w:r>
    </w:p>
    <w:p>
      <w:pPr>
        <w:pStyle w:val="Compact"/>
        <w:numPr>
          <w:ilvl w:val="0"/>
          <w:numId w:val="1001"/>
        </w:numPr>
      </w:pPr>
      <w:r>
        <w:t xml:space="preserve">Say in your cover email that a response in any other structure will be returned.</w:t>
      </w:r>
    </w:p>
    <w:p>
      <w:pPr>
        <w:pStyle w:val="FirstParagraph"/>
      </w:pPr>
      <w:r>
        <w:t xml:space="preserve">Sections A through I below are the vendor’s.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instructions-to-the-vendor"/>
      <w:r>
        <w:t xml:space="preserve">Instructions to the vendor</w:t>
      </w:r>
      <w:bookmarkEnd w:id="23"/>
    </w:p>
    <w:p>
      <w:pPr>
        <w:pStyle w:val="FirstParagraph"/>
      </w:pPr>
      <w:r>
        <w:t xml:space="preserve">Complete every section. Use the buyer’s metrics, baselines, units and time horizons</w:t>
      </w:r>
      <w:r>
        <w:t xml:space="preserve"> </w:t>
      </w:r>
      <w:r>
        <w:t xml:space="preserve">throughout. Do not introduce metrics that are not in the RFV. Where you cannot meet a</w:t>
      </w:r>
      <w:r>
        <w:t xml:space="preserve"> </w:t>
      </w:r>
      <w:r>
        <w:t xml:space="preserve">requirement, say so in the section it belongs to rather than omitting it.</w:t>
      </w:r>
    </w:p>
    <w:p>
      <w:pPr>
        <w:pStyle w:val="BodyText"/>
      </w:pPr>
      <w:r>
        <w:t xml:space="preserve">Length guidance: Section A is two pages at most. There is no page limit on Section 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section-a.-executive-summary"/>
      <w:r>
        <w:t xml:space="preserve">Section A. Executive summary</w:t>
      </w:r>
      <w:bookmarkEnd w:id="24"/>
    </w:p>
    <w:p>
      <w:pPr>
        <w:pStyle w:val="FirstParagraph"/>
      </w:pPr>
      <w:r>
        <w:rPr>
          <w:b/>
        </w:rPr>
        <w:t xml:space="preserve">A.1 Your proposal in one paragraph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A.2 The three outcomes you commit to support, stated in the buyer’s language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X61e66520e3519296492cf5ea6a8485a8f4e0f78"/>
      <w:r>
        <w:t xml:space="preserve">Section B. Understanding of buyer context</w:t>
      </w:r>
      <w:bookmarkEnd w:id="25"/>
    </w:p>
    <w:p>
      <w:pPr>
        <w:pStyle w:val="FirstParagraph"/>
      </w:pPr>
      <w:r>
        <w:rPr>
          <w:b/>
        </w:rPr>
        <w:t xml:space="preserve">B.1 The buyer’s situation as you understand it, referencing RFV Section 1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B.2 Constraints and dependencies you are designing around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section-c.-proposed-solution-and-scope"/>
      <w:r>
        <w:t xml:space="preserve">Section C. Proposed solution and scope</w:t>
      </w:r>
      <w:bookmarkEnd w:id="26"/>
    </w:p>
    <w:p>
      <w:pPr>
        <w:pStyle w:val="FirstParagraph"/>
      </w:pPr>
      <w:r>
        <w:rPr>
          <w:b/>
        </w:rPr>
        <w:t xml:space="preserve">C.1 Solution overview: products, services and approach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C.2 In scope: processes, regions, user groups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C.3 Out of scope, stated explicitly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C.4 Implementation phases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Indicative duration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Buyer responsibilities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Discovery and design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Build and configure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Pilot and acceptance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Rollout and stabilization</w:t>
            </w:r>
          </w:p>
        </w:tc>
        <w:tc>
          <w:p/>
        </w:tc>
        <w:tc>
          <w:p/>
        </w:tc>
        <w:tc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section-d.-quantified-value-projection"/>
      <w:r>
        <w:t xml:space="preserve">Section D. Quantified value projection</w:t>
      </w:r>
      <w:bookmarkEnd w:id="27"/>
    </w:p>
    <w:p>
      <w:pPr>
        <w:pStyle w:val="FirstParagraph"/>
      </w:pPr>
      <w:r>
        <w:t xml:space="preserve">Use the buyer’s Section 2 baselines exactly as given. Show the arithmetic. Give three</w:t>
      </w:r>
      <w:r>
        <w:t xml:space="preserve"> </w:t>
      </w:r>
      <w:r>
        <w:t xml:space="preserve">scenarios where the range is material.</w:t>
      </w:r>
    </w:p>
    <w:p>
      <w:pPr>
        <w:pStyle w:val="BodyText"/>
      </w:pPr>
      <w:r>
        <w:rPr>
          <w:b/>
        </w:rPr>
        <w:t xml:space="preserve">D.1 Projection by metric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Metric (from RFV)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Baseline (from RFV)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Conservative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Expected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Stretch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Time to first measurable change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Calculation, formula shown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Confidence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i/>
              </w:rPr>
              <w:t xml:space="preserve">Order-to-cash cycle time, 32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32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28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24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22 days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Month 4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Days saved x orders affected x daily carrying cost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Medium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D.2 Assumptions ledger</w:t>
      </w:r>
    </w:p>
    <w:p>
      <w:pPr>
        <w:pStyle w:val="BodyText"/>
      </w:pPr>
      <w:r>
        <w:t xml:space="preserve">Every projection above rests on assumptions. List them. The buyer will test them and may</w:t>
      </w:r>
      <w:r>
        <w:t xml:space="preserve"> </w:t>
      </w:r>
      <w:r>
        <w:t xml:space="preserve">change them, and a projection whose assumptions are not stated cannot be evaluated.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Assumption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Effect if wrong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controls 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Confidence, 1 to 5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i/>
              </w:rPr>
              <w:t xml:space="preserve">A1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At least 70 percent of target users adopt the new workflow within six months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Value realization delayed three to six months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Shared</w:t>
            </w:r>
          </w:p>
        </w:tc>
        <w:tc>
          <w:p>
            <w:pPr>
              <w:pStyle w:val="Compact"/>
              <w:jc w:val="left"/>
            </w:pPr>
            <w:r>
              <w:rPr>
                <w:i/>
              </w:rPr>
              <w:t xml:space="preserve">3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D.3 What the buyer must do for these projections to hold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section-e.-evidence-package"/>
      <w:r>
        <w:t xml:space="preserve">Section E. Evidence package</w:t>
      </w:r>
      <w:bookmarkEnd w:id="28"/>
    </w:p>
    <w:p>
      <w:pPr>
        <w:pStyle w:val="FirstParagraph"/>
      </w:pPr>
      <w:r>
        <w:t xml:space="preserve">This section is mandatory and it is where the response is decided. Every primary metric in</w:t>
      </w:r>
      <w:r>
        <w:t xml:space="preserve"> </w:t>
      </w:r>
      <w:r>
        <w:t xml:space="preserve">the RFV requires at least one proof point meeting RFV Section 5.</w:t>
      </w:r>
    </w:p>
    <w:p>
      <w:pPr>
        <w:pStyle w:val="BodyText"/>
      </w:pPr>
      <w:r>
        <w:rPr>
          <w:b/>
        </w:rPr>
        <w:t xml:space="preserve">E.1 Proof point register</w:t>
      </w:r>
    </w:p>
    <w:tbl>
      <w:tblPr>
        <w:tblStyle w:val="Table"/>
        <w:tblW w:type="pct" w:w="4999.999999999999"/>
        <w:tblLook w:firstRow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Metric (from RFV)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Customer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Baseline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Change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Evidence 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produced the evidence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Attached artifact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Verification contact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E.2 Independent validation</w:t>
      </w:r>
    </w:p>
    <w:p>
      <w:pPr>
        <w:pStyle w:val="BodyText"/>
      </w:pPr>
      <w:r>
        <w:t xml:space="preserve">List studies, audits or measured results produced by someone other than you. State for each</w:t>
      </w:r>
      <w:r>
        <w:t xml:space="preserve"> </w:t>
      </w:r>
      <w:r>
        <w:t xml:space="preserve">who commissioned it and who paid for it.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Publisher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Commissioned by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Paid for by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Metrics supported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Finding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Access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E.3 Claims you cannot yet evidence</w:t>
      </w:r>
    </w:p>
    <w:p>
      <w:pPr>
        <w:pStyle w:val="BodyText"/>
      </w:pPr>
      <w:r>
        <w:t xml:space="preserve">Name them. New modules, new industries, capabilities not yet running in production, results</w:t>
      </w:r>
      <w:r>
        <w:t xml:space="preserve"> </w:t>
      </w:r>
      <w:r>
        <w:t xml:space="preserve">you believe are achievable but have not measured anywhere.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E.4 Comparability</w:t>
      </w:r>
    </w:p>
    <w:p>
      <w:pPr>
        <w:pStyle w:val="BodyText"/>
      </w:pPr>
      <w:r>
        <w:t xml:space="preserve">For each proof point, state how the reference customer differs from this buyer in size,</w:t>
      </w:r>
      <w:r>
        <w:t xml:space="preserve"> </w:t>
      </w:r>
      <w:r>
        <w:t xml:space="preserve">industry, geography, systems or operating model, and why you consider the result</w:t>
      </w:r>
      <w:r>
        <w:t xml:space="preserve"> </w:t>
      </w:r>
      <w:r>
        <w:t xml:space="preserve">transferable.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section-f.-governance-and-value-review"/>
      <w:r>
        <w:t xml:space="preserve">Section F. Governance and value review</w:t>
      </w:r>
      <w:bookmarkEnd w:id="29"/>
    </w:p>
    <w:p>
      <w:pPr>
        <w:pStyle w:val="FirstParagraph"/>
      </w:pPr>
      <w:r>
        <w:rPr>
          <w:b/>
        </w:rPr>
        <w:t xml:space="preserve">F.1 Roles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Buyer or vendor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Responsibilities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Executive sponsor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Program lead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Value owner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Technical lead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F.2 Measurement and review</w:t>
      </w:r>
    </w:p>
    <w:p>
      <w:pPr>
        <w:pStyle w:val="Compact"/>
        <w:numPr>
          <w:ilvl w:val="0"/>
          <w:numId w:val="1003"/>
        </w:numPr>
      </w:pPr>
      <w:r>
        <w:t xml:space="preserve">Who measures the RFV Section 2 metrics after go-live: ______________________</w:t>
      </w:r>
    </w:p>
    <w:p>
      <w:pPr>
        <w:pStyle w:val="Compact"/>
        <w:numPr>
          <w:ilvl w:val="0"/>
          <w:numId w:val="1003"/>
        </w:numPr>
      </w:pPr>
      <w:r>
        <w:t xml:space="preserve">Where the measurement comes from: ______________________</w:t>
      </w:r>
    </w:p>
    <w:p>
      <w:pPr>
        <w:pStyle w:val="Compact"/>
        <w:numPr>
          <w:ilvl w:val="0"/>
          <w:numId w:val="1003"/>
        </w:numPr>
      </w:pPr>
      <w:r>
        <w:t xml:space="preserve">Review cadence: ______________________</w:t>
      </w:r>
    </w:p>
    <w:p>
      <w:pPr>
        <w:pStyle w:val="Compact"/>
        <w:numPr>
          <w:ilvl w:val="0"/>
          <w:numId w:val="1003"/>
        </w:numPr>
      </w:pPr>
      <w:r>
        <w:t xml:space="preserve">Deviation that triggers an unscheduled review: ______________________</w:t>
      </w:r>
    </w:p>
    <w:p>
      <w:pPr>
        <w:pStyle w:val="Compact"/>
        <w:numPr>
          <w:ilvl w:val="0"/>
          <w:numId w:val="1003"/>
        </w:numPr>
      </w:pPr>
      <w:r>
        <w:t xml:space="preserve">What happens when a projection is missed: ______________________</w:t>
      </w:r>
    </w:p>
    <w:p>
      <w:pPr>
        <w:pStyle w:val="FirstParagraph"/>
      </w:pPr>
      <w:r>
        <w:rPr>
          <w:b/>
        </w:rPr>
        <w:t xml:space="preserve">F.3 Risks to value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Risk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Effect on the projected value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Mitigation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Early indicator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Xe869f082495755245a94d2303df4cc8b34b54d4"/>
      <w:r>
        <w:t xml:space="preserve">Section G. Commercials and value-linked terms</w:t>
      </w:r>
      <w:bookmarkEnd w:id="30"/>
    </w:p>
    <w:p>
      <w:pPr>
        <w:pStyle w:val="FirstParagraph"/>
      </w:pPr>
      <w:r>
        <w:rPr>
          <w:b/>
        </w:rPr>
        <w:t xml:space="preserve">G.1 Pricing summary</w:t>
      </w:r>
    </w:p>
    <w:p>
      <w:pPr>
        <w:pStyle w:val="Compact"/>
        <w:numPr>
          <w:ilvl w:val="0"/>
          <w:numId w:val="1004"/>
        </w:numPr>
      </w:pPr>
      <w:r>
        <w:t xml:space="preserve">License or subscription: ______________________________</w:t>
      </w:r>
    </w:p>
    <w:p>
      <w:pPr>
        <w:pStyle w:val="Compact"/>
        <w:numPr>
          <w:ilvl w:val="0"/>
          <w:numId w:val="1004"/>
        </w:numPr>
      </w:pPr>
      <w:r>
        <w:t xml:space="preserve">Implementation and services: ______________________________</w:t>
      </w:r>
    </w:p>
    <w:p>
      <w:pPr>
        <w:pStyle w:val="Compact"/>
        <w:numPr>
          <w:ilvl w:val="0"/>
          <w:numId w:val="1004"/>
        </w:numPr>
      </w:pPr>
      <w:r>
        <w:t xml:space="preserve">Usage-based or variable components: ______________________________</w:t>
      </w:r>
    </w:p>
    <w:p>
      <w:pPr>
        <w:pStyle w:val="Compact"/>
        <w:numPr>
          <w:ilvl w:val="0"/>
          <w:numId w:val="1004"/>
        </w:numPr>
      </w:pPr>
      <w:r>
        <w:t xml:space="preserve">Assumed term and renewal basis: ______________________________</w:t>
      </w:r>
    </w:p>
    <w:p>
      <w:pPr>
        <w:pStyle w:val="FirstParagraph"/>
      </w:pPr>
      <w:r>
        <w:rPr>
          <w:b/>
        </w:rPr>
        <w:t xml:space="preserve">G.2 Value-linked terms offered</w:t>
      </w:r>
    </w:p>
    <w:p>
      <w:pPr>
        <w:pStyle w:val="Compact"/>
        <w:numPr>
          <w:ilvl w:val="0"/>
          <w:numId w:val="1005"/>
        </w:numPr>
      </w:pPr>
      <w:r>
        <w:t xml:space="preserve">Mechanism proposed (service credits, earn-backs, outcome-linked components, extension</w:t>
      </w:r>
      <w:r>
        <w:t xml:space="preserve"> </w:t>
      </w:r>
      <w:r>
        <w:t xml:space="preserve">options): ______________________________</w:t>
      </w:r>
    </w:p>
    <w:p>
      <w:pPr>
        <w:pStyle w:val="Compact"/>
        <w:numPr>
          <w:ilvl w:val="0"/>
          <w:numId w:val="1005"/>
        </w:numPr>
      </w:pPr>
      <w:r>
        <w:t xml:space="preserve">Metrics and thresholds that trigger it: ______________________________</w:t>
      </w:r>
    </w:p>
    <w:p>
      <w:pPr>
        <w:pStyle w:val="Compact"/>
        <w:numPr>
          <w:ilvl w:val="0"/>
          <w:numId w:val="1005"/>
        </w:numPr>
      </w:pPr>
      <w:r>
        <w:t xml:space="preserve">How the trigger is measured and by whom: ______________________________</w:t>
      </w:r>
    </w:p>
    <w:p>
      <w:pPr>
        <w:pStyle w:val="Compact"/>
        <w:numPr>
          <w:ilvl w:val="0"/>
          <w:numId w:val="1005"/>
        </w:numPr>
      </w:pPr>
      <w:r>
        <w:t xml:space="preserve">If you are offering none, say so here and why: ______________________________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X386660dd8b013750515575c5a2132385887aa3d"/>
      <w:r>
        <w:t xml:space="preserve">Section H. Assumptions, dependencies and exceptions</w:t>
      </w:r>
      <w:bookmarkEnd w:id="31"/>
    </w:p>
    <w:p>
      <w:pPr>
        <w:pStyle w:val="FirstParagraph"/>
      </w:pPr>
      <w:r>
        <w:rPr>
          <w:b/>
        </w:rPr>
        <w:t xml:space="preserve">H.1 Material assumptions beyond Section D.2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H.2 Buyer responsibilities critical to the result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H.3 Exceptions to any RFV requirement</w:t>
      </w:r>
    </w:p>
    <w:p>
      <w:pPr>
        <w:pStyle w:val="BodyText"/>
      </w:pPr>
      <w:r>
        <w:t xml:space="preserve">State the requirement, the exception, and the reason.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RFV section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Exception taken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Reason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section-i.-sign-off"/>
      <w:r>
        <w:t xml:space="preserve">Section I. Sign-off</w:t>
      </w:r>
      <w:bookmarkEnd w:id="32"/>
    </w:p>
    <w:p>
      <w:pPr>
        <w:pStyle w:val="FirstParagraph"/>
      </w:pPr>
      <w:r>
        <w:t xml:space="preserve">By signing, the vendor confirms that the projections in Section D rest on the assumptions</w:t>
      </w:r>
      <w:r>
        <w:t xml:space="preserve"> </w:t>
      </w:r>
      <w:r>
        <w:t xml:space="preserve">listed, that the evidence in Section E is accurate and open to verification by the buyer,</w:t>
      </w:r>
      <w:r>
        <w:t xml:space="preserve"> </w:t>
      </w:r>
      <w:r>
        <w:t xml:space="preserve">and that the vendor is willing to agree a measurement and review arrangement covering the</w:t>
      </w:r>
      <w:r>
        <w:t xml:space="preserve"> </w:t>
      </w:r>
      <w:r>
        <w:t xml:space="preserve">metrics in RFV Section 2.</w:t>
      </w:r>
    </w:p>
    <w:p>
      <w:pPr>
        <w:pStyle w:val="Compact"/>
        <w:numPr>
          <w:ilvl w:val="0"/>
          <w:numId w:val="1006"/>
        </w:numPr>
      </w:pPr>
      <w:r>
        <w:t xml:space="preserve">Authorized signatory: ______________________________</w:t>
      </w:r>
    </w:p>
    <w:p>
      <w:pPr>
        <w:pStyle w:val="Compact"/>
        <w:numPr>
          <w:ilvl w:val="0"/>
          <w:numId w:val="1006"/>
        </w:numPr>
      </w:pPr>
      <w:r>
        <w:t xml:space="preserve">Name and title: ______________________________</w:t>
      </w:r>
    </w:p>
    <w:p>
      <w:pPr>
        <w:pStyle w:val="Compact"/>
        <w:numPr>
          <w:ilvl w:val="0"/>
          <w:numId w:val="1006"/>
        </w:numPr>
      </w:pPr>
      <w:r>
        <w:t xml:space="preserve">Date: ______________________________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</w:rPr>
        <w:t xml:space="preserve">Attribution: RFV Response Format. From The Value Standard by Michael Brey.</w:t>
      </w:r>
      <w:r>
        <w:rPr>
          <w:i/>
        </w:rPr>
        <w:t xml:space="preserve"> </w:t>
      </w:r>
      <w:r>
        <w:rPr>
          <w:i/>
        </w:rPr>
        <w:t xml:space="preserve">valuelattice.com. Licensed CC BY 4.0.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Brey</dc:creator>
  <cp:keywords/>
  <dcterms:created xsi:type="dcterms:W3CDTF">2026-08-29T18:18:41Z</dcterms:created>
  <dcterms:modified xsi:type="dcterms:W3CDTF">2026-08-29T18:18:41Z</dcterms:modified>
  <cp:lastModifiedBy>Michael Brey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