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rfv-request-for-value"/>
      <w:r>
        <w:t xml:space="preserve">RFV: Request for Value</w:t>
      </w:r>
      <w:bookmarkEnd w:id="20"/>
    </w:p>
    <w:p>
      <w:pPr>
        <w:pStyle w:val="Heading3"/>
      </w:pPr>
      <w:bookmarkStart w:id="21" w:name="X97c56d958e2582fe442541dee96e372f8a2bdf2"/>
      <w:r>
        <w:t xml:space="preserve">Buyer-Issued Template · August 2026</w:t>
      </w:r>
      <w:bookmarkEnd w:id="21"/>
    </w:p>
    <w:p>
      <w:pPr>
        <w:pStyle w:val="FirstParagraph"/>
      </w:pPr>
      <w:r>
        <w:rPr>
          <w:b/>
        </w:rPr>
        <w:t xml:space="preserve">Part of The Value Standard. Free to use, copy, adapt and issue.</w:t>
      </w:r>
      <w:r>
        <w:t xml:space="preserve"> </w:t>
      </w:r>
      <w:r>
        <w:t xml:space="preserve">Published by Value Lattice · valuelattice.com</w:t>
      </w:r>
      <w:r>
        <w:t xml:space="preserve"> </w:t>
      </w:r>
      <w:r>
        <w:t xml:space="preserve">Licensed CC BY 4.0. Keep the attribution line and this document travels with its source.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what-this-is"/>
      <w:r>
        <w:t xml:space="preserve">What this is</w:t>
      </w:r>
      <w:bookmarkEnd w:id="22"/>
    </w:p>
    <w:p>
      <w:pPr>
        <w:pStyle w:val="FirstParagraph"/>
      </w:pPr>
      <w:r>
        <w:t xml:space="preserve">A Request for Value is a document the buyer issues before vendor contact. It states what</w:t>
      </w:r>
      <w:r>
        <w:t xml:space="preserve"> </w:t>
      </w:r>
      <w:r>
        <w:t xml:space="preserve">the buyer counts as value, what evidence will be required to support a value claim, who</w:t>
      </w:r>
      <w:r>
        <w:t xml:space="preserve"> </w:t>
      </w:r>
      <w:r>
        <w:t xml:space="preserve">verifies that evidence, and what happens when it is not supplied.</w:t>
      </w:r>
    </w:p>
    <w:p>
      <w:pPr>
        <w:pStyle w:val="BodyText"/>
      </w:pPr>
      <w:r>
        <w:t xml:space="preserve">Buyers already have a full set of request documents. A state procurement office describes</w:t>
      </w:r>
      <w:r>
        <w:t xml:space="preserve"> </w:t>
      </w:r>
      <w:r>
        <w:t xml:space="preserve">the choice this way: the solicitation</w:t>
      </w:r>
      <w:r>
        <w:t xml:space="preserve"> </w:t>
      </w:r>
      <w:r>
        <w:t xml:space="preserve">“</w:t>
      </w:r>
      <w:r>
        <w:t xml:space="preserve">may be called any of the following: Procurement,</w:t>
      </w:r>
      <w:r>
        <w:t xml:space="preserve"> </w:t>
      </w:r>
      <w:r>
        <w:t xml:space="preserve">Solicitation, Request for Proposal (RFP), Request for Quotation (RFQ), Request for</w:t>
      </w:r>
      <w:r>
        <w:t xml:space="preserve"> </w:t>
      </w:r>
      <w:r>
        <w:t xml:space="preserve">Qualifications and Quotation (RFQQ), or Request for Information (RFI), depending on the</w:t>
      </w:r>
      <w:r>
        <w:t xml:space="preserve"> </w:t>
      </w:r>
      <w:r>
        <w:t xml:space="preserve">purpose of the procurement.</w:t>
      </w:r>
      <w:r>
        <w:t xml:space="preserve">”</w:t>
      </w:r>
      <w:r>
        <w:t xml:space="preserve"> </w:t>
      </w:r>
      <w:r>
        <w:t xml:space="preserve">(Washington State Department of Social and Health Services,</w:t>
      </w:r>
      <w:r>
        <w:t xml:space="preserve"> </w:t>
      </w:r>
      <w:r>
        <w:t xml:space="preserve">dshs.wa.gov/faq/there-difference-between-procurement-and-solicitation, read 29 August 2026.)</w:t>
      </w:r>
    </w:p>
    <w:p>
      <w:pPr>
        <w:pStyle w:val="BodyText"/>
      </w:pPr>
      <w:r>
        <w:t xml:space="preserve">Each of those asks a vendor for something the vendor already holds: information, a price, a</w:t>
      </w:r>
      <w:r>
        <w:t xml:space="preserve"> </w:t>
      </w:r>
      <w:r>
        <w:t xml:space="preserve">proposal, a set of qualifications. None of them asks the vendor to establish that the value</w:t>
      </w:r>
      <w:r>
        <w:t xml:space="preserve"> </w:t>
      </w:r>
      <w:r>
        <w:t xml:space="preserve">being paid for has been delivered before, to whom, against what baseline, and by what</w:t>
      </w:r>
      <w:r>
        <w:t xml:space="preserve"> </w:t>
      </w:r>
      <w:r>
        <w:t xml:space="preserve">measurement. The RFV is the document that does.</w:t>
      </w:r>
    </w:p>
    <w:p>
      <w:pPr>
        <w:pStyle w:val="BodyText"/>
      </w:pPr>
      <w:r>
        <w:t xml:space="preserve">You do not need the book to use this. Sections 1 through 3 are yours to complete before</w:t>
      </w:r>
      <w:r>
        <w:t xml:space="preserve"> </w:t>
      </w:r>
      <w:r>
        <w:t xml:space="preserve">anyone outside your organization sees the document. Sections 4 through 7 are what the</w:t>
      </w:r>
      <w:r>
        <w:t xml:space="preserve"> </w:t>
      </w:r>
      <w:r>
        <w:t xml:space="preserve">vendor is told.</w:t>
      </w:r>
    </w:p>
    <w:p>
      <w:pPr>
        <w:pStyle w:val="Heading2"/>
      </w:pPr>
      <w:bookmarkStart w:id="23" w:name="how-to-use-it"/>
      <w:r>
        <w:t xml:space="preserve">How to use it</w:t>
      </w:r>
      <w:bookmarkEnd w:id="23"/>
    </w:p>
    <w:p>
      <w:pPr>
        <w:pStyle w:val="Compact"/>
        <w:numPr>
          <w:ilvl w:val="0"/>
          <w:numId w:val="1001"/>
        </w:numPr>
      </w:pPr>
      <w:r>
        <w:t xml:space="preserve">Complete Sections 1, 2 and 3 internally. Do not send an RFV with these blank; vendors</w:t>
      </w:r>
      <w:r>
        <w:t xml:space="preserve"> </w:t>
      </w:r>
      <w:r>
        <w:t xml:space="preserve">return the quality of input they are given.</w:t>
      </w:r>
    </w:p>
    <w:p>
      <w:pPr>
        <w:pStyle w:val="Compact"/>
        <w:numPr>
          <w:ilvl w:val="0"/>
          <w:numId w:val="1001"/>
        </w:numPr>
      </w:pPr>
      <w:r>
        <w:t xml:space="preserve">Get Finance to agree Section 2 before issue. The baseline is the number every later</w:t>
      </w:r>
      <w:r>
        <w:t xml:space="preserve"> </w:t>
      </w:r>
      <w:r>
        <w:t xml:space="preserve">argument rests on, and it is much harder to agree after a vendor has proposed one.</w:t>
      </w:r>
    </w:p>
    <w:p>
      <w:pPr>
        <w:pStyle w:val="Compact"/>
        <w:numPr>
          <w:ilvl w:val="0"/>
          <w:numId w:val="1001"/>
        </w:numPr>
      </w:pPr>
      <w:r>
        <w:t xml:space="preserve">Issue Sections 1 through 7 to every vendor in the same form. A comparison is only a</w:t>
      </w:r>
      <w:r>
        <w:t xml:space="preserve"> </w:t>
      </w:r>
      <w:r>
        <w:t xml:space="preserve">comparison if the request was identical.</w:t>
      </w:r>
    </w:p>
    <w:p>
      <w:pPr>
        <w:pStyle w:val="Compact"/>
        <w:numPr>
          <w:ilvl w:val="0"/>
          <w:numId w:val="1001"/>
        </w:numPr>
      </w:pPr>
      <w:r>
        <w:t xml:space="preserve">Require the response in the RFV Response Format that accompanies this template.</w:t>
      </w:r>
    </w:p>
    <w:p>
      <w:pPr>
        <w:pStyle w:val="Compact"/>
        <w:numPr>
          <w:ilvl w:val="0"/>
          <w:numId w:val="1001"/>
        </w:numPr>
      </w:pPr>
      <w:r>
        <w:t xml:space="preserve">Score against the Evidence Checklist. Record what was accepted and what was not.</w:t>
      </w:r>
    </w:p>
    <w:p>
      <w:pPr>
        <w:pStyle w:val="FirstParagraph"/>
      </w:pPr>
      <w:r>
        <w:t xml:space="preserve">Replace anything here that does not fit your organization. This is a template, not a rule.</w:t>
      </w:r>
      <w:r>
        <w:t xml:space="preserve"> </w:t>
      </w:r>
      <w:r>
        <w:t xml:space="preserve">The one part worth keeping intact is Section 5, because it is the part vendors will test.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section-1.-buyer-and-initiative-context"/>
      <w:r>
        <w:t xml:space="preserve">Section 1. Buyer and initiative context</w:t>
      </w:r>
      <w:bookmarkEnd w:id="24"/>
    </w:p>
    <w:p>
      <w:pPr>
        <w:pStyle w:val="FirstParagraph"/>
      </w:pPr>
      <w:r>
        <w:rPr>
          <w:i/>
        </w:rPr>
        <w:t xml:space="preserve">Completed by the buyer before issue.</w:t>
      </w:r>
    </w:p>
    <w:p>
      <w:pPr>
        <w:pStyle w:val="BodyText"/>
      </w:pPr>
      <w:r>
        <w:rPr>
          <w:b/>
        </w:rPr>
        <w:t xml:space="preserve">1.1 Organization</w:t>
      </w:r>
    </w:p>
    <w:p>
      <w:pPr>
        <w:pStyle w:val="Compact"/>
        <w:numPr>
          <w:ilvl w:val="0"/>
          <w:numId w:val="1002"/>
        </w:numPr>
      </w:pPr>
      <w:r>
        <w:t xml:space="preserve">Legal entity name: ______________________________</w:t>
      </w:r>
    </w:p>
    <w:p>
      <w:pPr>
        <w:pStyle w:val="Compact"/>
        <w:numPr>
          <w:ilvl w:val="0"/>
          <w:numId w:val="1002"/>
        </w:numPr>
      </w:pPr>
      <w:r>
        <w:t xml:space="preserve">Industry or segment: ______________________________</w:t>
      </w:r>
    </w:p>
    <w:p>
      <w:pPr>
        <w:pStyle w:val="Compact"/>
        <w:numPr>
          <w:ilvl w:val="0"/>
          <w:numId w:val="1002"/>
        </w:numPr>
      </w:pPr>
      <w:r>
        <w:t xml:space="preserve">Geographies in scope: ______________________________</w:t>
      </w:r>
    </w:p>
    <w:p>
      <w:pPr>
        <w:pStyle w:val="Compact"/>
        <w:numPr>
          <w:ilvl w:val="0"/>
          <w:numId w:val="1002"/>
        </w:numPr>
      </w:pPr>
      <w:r>
        <w:t xml:space="preserve">Size (revenue and headcount): ______________________________</w:t>
      </w:r>
    </w:p>
    <w:p>
      <w:pPr>
        <w:pStyle w:val="Compact"/>
        <w:numPr>
          <w:ilvl w:val="0"/>
          <w:numId w:val="1002"/>
        </w:numPr>
      </w:pPr>
      <w:r>
        <w:t xml:space="preserve">Operating model characteristics relevant to this purchase: ______________________________</w:t>
      </w:r>
    </w:p>
    <w:p>
      <w:pPr>
        <w:pStyle w:val="FirstParagraph"/>
      </w:pPr>
      <w:r>
        <w:rPr>
          <w:b/>
        </w:rPr>
        <w:t xml:space="preserve">1.2 Initiative</w:t>
      </w:r>
    </w:p>
    <w:p>
      <w:pPr>
        <w:pStyle w:val="BodyText"/>
      </w:pPr>
      <w:r>
        <w:t xml:space="preserve">Describe the business change you want, in plain language. Avoid product names and category</w:t>
      </w:r>
      <w:r>
        <w:t xml:space="preserve"> </w:t>
      </w:r>
      <w:r>
        <w:t xml:space="preserve">labels; a vendor who has to guess what you mean will propose what they sell.</w:t>
      </w:r>
    </w:p>
    <w:p>
      <w:pPr>
        <w:numPr>
          <w:ilvl w:val="0"/>
          <w:numId w:val="1003"/>
        </w:numPr>
      </w:pPr>
      <w:r>
        <w:t xml:space="preserve">Initiative name: ______________________________</w:t>
      </w:r>
    </w:p>
    <w:p>
      <w:pPr>
        <w:numPr>
          <w:ilvl w:val="0"/>
          <w:numId w:val="1003"/>
        </w:numPr>
      </w:pPr>
      <w:r>
        <w:t xml:space="preserve">Description, two or three sentences: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1.3 Objectives and value pillars</w:t>
      </w:r>
    </w:p>
    <w:p>
      <w:pPr>
        <w:pStyle w:val="BodyText"/>
      </w:pPr>
      <w:r>
        <w:t xml:space="preserve">List three to five objectives. Attach each to one pillar. This is what tells a vendor how to</w:t>
      </w:r>
      <w:r>
        <w:t xml:space="preserve"> </w:t>
      </w:r>
      <w:r>
        <w:t xml:space="preserve">frame value, and it is the reason two vendors will otherwise answer two different questions.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Objective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Value pillar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 this matters now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i/>
              </w:rPr>
              <w:t xml:space="preserve">Example: reduce order-to-cash cycle time by 20 percent within 12 months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Working capital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Example: frees cash and removes manual effort across finance and operations</w:t>
            </w:r>
          </w:p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Suggested pillars: cost and efficiency, working capital, revenue and growth, risk and</w:t>
      </w:r>
      <w:r>
        <w:t xml:space="preserve"> </w:t>
      </w:r>
      <w:r>
        <w:t xml:space="preserve">compliance, customer or employee experience, time to market. Use your own if you have them.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section-2.-current-state-and-baseline"/>
      <w:r>
        <w:t xml:space="preserve">Section 2. Current state and baseline</w:t>
      </w:r>
      <w:bookmarkEnd w:id="25"/>
    </w:p>
    <w:p>
      <w:pPr>
        <w:pStyle w:val="FirstParagraph"/>
      </w:pPr>
      <w:r>
        <w:rPr>
          <w:i/>
        </w:rPr>
        <w:t xml:space="preserve">Completed by the buyer before issue. Directional numbers beat none. Mark estimates as estimates.</w:t>
      </w:r>
    </w:p>
    <w:p>
      <w:pPr>
        <w:pStyle w:val="BodyText"/>
      </w:pPr>
      <w:r>
        <w:rPr>
          <w:b/>
        </w:rPr>
        <w:t xml:space="preserve">2.1 Processes in scope</w:t>
      </w:r>
    </w:p>
    <w:p>
      <w:pPr>
        <w:pStyle w:val="BodyText"/>
      </w:pPr>
      <w:r>
        <w:t xml:space="preserve">Describe the end-to-end processes this initiative touches, and name what is out of scope.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2.2 Baseline metrics</w:t>
      </w:r>
    </w:p>
    <w:p>
      <w:pPr>
        <w:pStyle w:val="BodyText"/>
      </w:pPr>
      <w:r>
        <w:t xml:space="preserve">Five to ten metrics you will judge success by. These are the anchors for every projection a</w:t>
      </w:r>
      <w:r>
        <w:t xml:space="preserve"> </w:t>
      </w:r>
      <w:r>
        <w:t xml:space="preserve">vendor makes and every proof point they offer.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Current baseline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Estimate or measured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Target range (min to stretch)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Measurement method and system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Constraints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i/>
              </w:rPr>
              <w:t xml:space="preserve">Order-to-cash cycle time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32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Measured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24 to 26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ERP and billing data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Finance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Excludes one-off large orders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i/>
              </w:rPr>
              <w:t xml:space="preserve">Manual rework rate on invoices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14 percent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Estimate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5 percent or below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Quality logs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Shared services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Top three regions first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2.3 Baseline sign-off</w:t>
      </w:r>
    </w:p>
    <w:p>
      <w:pPr>
        <w:pStyle w:val="BodyText"/>
      </w:pPr>
      <w:r>
        <w:t xml:space="preserve">The baseline is agreed internally before issue, and it does not change during evaluation</w:t>
      </w:r>
      <w:r>
        <w:t xml:space="preserve"> </w:t>
      </w:r>
      <w:r>
        <w:t xml:space="preserve">without a recorded reason.</w:t>
      </w:r>
    </w:p>
    <w:p>
      <w:pPr>
        <w:pStyle w:val="Compact"/>
        <w:numPr>
          <w:ilvl w:val="0"/>
          <w:numId w:val="1004"/>
        </w:numPr>
      </w:pPr>
      <w:r>
        <w:t xml:space="preserve">Agreed by (business owner): ______________________ Date: ____________</w:t>
      </w:r>
    </w:p>
    <w:p>
      <w:pPr>
        <w:pStyle w:val="Compact"/>
        <w:numPr>
          <w:ilvl w:val="0"/>
          <w:numId w:val="1004"/>
        </w:numPr>
      </w:pPr>
      <w:r>
        <w:t xml:space="preserve">Agreed by (finance): ______________________ Date: ____________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X72a833b607cc1b3e9efe7b3e39198ce88e9388f"/>
      <w:r>
        <w:t xml:space="preserve">Section 3. Desired outcomes and buyer value hypotheses</w:t>
      </w:r>
      <w:bookmarkEnd w:id="26"/>
    </w:p>
    <w:p>
      <w:pPr>
        <w:pStyle w:val="FirstParagraph"/>
      </w:pPr>
      <w:r>
        <w:rPr>
          <w:i/>
        </w:rPr>
        <w:t xml:space="preserve">Completed by the buyer before issue.</w:t>
      </w:r>
    </w:p>
    <w:p>
      <w:pPr>
        <w:pStyle w:val="BodyText"/>
      </w:pPr>
      <w:r>
        <w:rPr>
          <w:b/>
        </w:rPr>
        <w:t xml:space="preserve">3.1 Primary outcomes</w:t>
      </w:r>
    </w:p>
    <w:p>
      <w:pPr>
        <w:pStyle w:val="BodyText"/>
      </w:pPr>
      <w:r>
        <w:t xml:space="preserve">State three to five, in your own words, in your own units.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3.2 Buyer value hypotheses</w:t>
      </w:r>
    </w:p>
    <w:p>
      <w:pPr>
        <w:pStyle w:val="BodyText"/>
      </w:pPr>
      <w:r>
        <w:t xml:space="preserve">State your own view of what is achievable before you hear the vendor’s. Vendors respond to</w:t>
      </w:r>
      <w:r>
        <w:t xml:space="preserve"> </w:t>
      </w:r>
      <w:r>
        <w:t xml:space="preserve">these directly, either by supporting them or by disputing them with evidence.</w:t>
      </w:r>
    </w:p>
    <w:p>
      <w:pPr>
        <w:pStyle w:val="BodyText"/>
      </w:pPr>
      <w:r>
        <w:t xml:space="preserve">Example: if manual reconciliation falls by half, we expect to release about two full-time</w:t>
      </w:r>
      <w:r>
        <w:t xml:space="preserve"> </w:t>
      </w:r>
      <w:r>
        <w:t xml:space="preserve">equivalents and reduce error rates by 60 percent within twelve months.</w:t>
      </w:r>
    </w:p>
    <w:p>
      <w:pPr>
        <w:pStyle w:val="Compact"/>
        <w:numPr>
          <w:ilvl w:val="0"/>
          <w:numId w:val="1006"/>
        </w:numPr>
      </w:pPr>
      <w:r>
        <w:t xml:space="preserve">Hypothesis 1: ______________________________________________________</w:t>
      </w:r>
    </w:p>
    <w:p>
      <w:pPr>
        <w:pStyle w:val="Compact"/>
        <w:numPr>
          <w:ilvl w:val="0"/>
          <w:numId w:val="1006"/>
        </w:numPr>
      </w:pPr>
      <w:r>
        <w:t xml:space="preserve">Hypothesis 2: ______________________________________________________</w:t>
      </w:r>
    </w:p>
    <w:p>
      <w:pPr>
        <w:pStyle w:val="Compact"/>
        <w:numPr>
          <w:ilvl w:val="0"/>
          <w:numId w:val="1006"/>
        </w:numPr>
      </w:pPr>
      <w:r>
        <w:t xml:space="preserve">Hypothesis 3: ______________________________________________________</w:t>
      </w:r>
    </w:p>
    <w:p>
      <w:pPr>
        <w:pStyle w:val="FirstParagraph"/>
      </w:pPr>
      <w:r>
        <w:t xml:space="preserve">Writing your own hypothesis first is what keeps the vendor’s number from becoming your</w:t>
      </w:r>
      <w:r>
        <w:t xml:space="preserve"> </w:t>
      </w:r>
      <w:r>
        <w:t xml:space="preserve">number by default.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section-4.-required-response-structure"/>
      <w:r>
        <w:t xml:space="preserve">Section 4. Required response structure</w:t>
      </w:r>
      <w:bookmarkEnd w:id="27"/>
    </w:p>
    <w:p>
      <w:pPr>
        <w:pStyle w:val="FirstParagraph"/>
      </w:pPr>
      <w:r>
        <w:rPr>
          <w:i/>
        </w:rPr>
        <w:t xml:space="preserve">Issued to vendors.</w:t>
      </w:r>
    </w:p>
    <w:p>
      <w:pPr>
        <w:pStyle w:val="BodyText"/>
      </w:pPr>
      <w:r>
        <w:t xml:space="preserve">Responses must follow the RFV Response Format that accompanies this document, in this order.</w:t>
      </w:r>
      <w:r>
        <w:t xml:space="preserve"> </w:t>
      </w:r>
      <w:r>
        <w:t xml:space="preserve">A response that reorganizes the structure is returned for resubmission.</w:t>
      </w:r>
    </w:p>
    <w:p>
      <w:pPr>
        <w:pStyle w:val="Compact"/>
        <w:numPr>
          <w:ilvl w:val="0"/>
          <w:numId w:val="1007"/>
        </w:numPr>
      </w:pPr>
      <w:r>
        <w:t xml:space="preserve">Executive summary, two pages maximum</w:t>
      </w:r>
    </w:p>
    <w:p>
      <w:pPr>
        <w:pStyle w:val="Compact"/>
        <w:numPr>
          <w:ilvl w:val="0"/>
          <w:numId w:val="1007"/>
        </w:numPr>
      </w:pPr>
      <w:r>
        <w:t xml:space="preserve">Understanding of buyer context, mapped to Section 1</w:t>
      </w:r>
    </w:p>
    <w:p>
      <w:pPr>
        <w:pStyle w:val="Compact"/>
        <w:numPr>
          <w:ilvl w:val="0"/>
          <w:numId w:val="1007"/>
        </w:numPr>
      </w:pPr>
      <w:r>
        <w:t xml:space="preserve">Proposed solution and scope, including what is excluded</w:t>
      </w:r>
    </w:p>
    <w:p>
      <w:pPr>
        <w:pStyle w:val="Compact"/>
        <w:numPr>
          <w:ilvl w:val="0"/>
          <w:numId w:val="1007"/>
        </w:numPr>
      </w:pPr>
      <w:r>
        <w:t xml:space="preserve">Quantified value projection, using the buyer’s metrics, baselines, units and horizons</w:t>
      </w:r>
    </w:p>
    <w:p>
      <w:pPr>
        <w:pStyle w:val="Compact"/>
        <w:numPr>
          <w:ilvl w:val="0"/>
          <w:numId w:val="1007"/>
        </w:numPr>
      </w:pPr>
      <w:r>
        <w:t xml:space="preserve">Evidence package, meeting Section 5</w:t>
      </w:r>
    </w:p>
    <w:p>
      <w:pPr>
        <w:pStyle w:val="Compact"/>
        <w:numPr>
          <w:ilvl w:val="0"/>
          <w:numId w:val="1007"/>
        </w:numPr>
      </w:pPr>
      <w:r>
        <w:t xml:space="preserve">Governance and value review plan</w:t>
      </w:r>
    </w:p>
    <w:p>
      <w:pPr>
        <w:pStyle w:val="Compact"/>
        <w:numPr>
          <w:ilvl w:val="0"/>
          <w:numId w:val="1007"/>
        </w:numPr>
      </w:pPr>
      <w:r>
        <w:t xml:space="preserve">Commercials and any value-linked terms</w:t>
      </w:r>
    </w:p>
    <w:p>
      <w:pPr>
        <w:pStyle w:val="Compact"/>
        <w:numPr>
          <w:ilvl w:val="0"/>
          <w:numId w:val="1007"/>
        </w:numPr>
      </w:pPr>
      <w:r>
        <w:t xml:space="preserve">Assumptions, dependencies and exceptions</w:t>
      </w:r>
    </w:p>
    <w:p>
      <w:pPr>
        <w:pStyle w:val="FirstParagraph"/>
      </w:pPr>
      <w:r>
        <w:t xml:space="preserve">No metric may be introduced in a response that does not appear in Section 2 of this RFV. A</w:t>
      </w:r>
      <w:r>
        <w:t xml:space="preserve"> </w:t>
      </w:r>
      <w:r>
        <w:t xml:space="preserve">vendor who wants to propose an additional metric raises it as a clarification question</w:t>
      </w:r>
      <w:r>
        <w:t xml:space="preserve"> </w:t>
      </w:r>
      <w:r>
        <w:t xml:space="preserve">before the response deadline, and the buyer decides whether it enters the evaluation for</w:t>
      </w:r>
      <w:r>
        <w:t xml:space="preserve"> </w:t>
      </w:r>
      <w:r>
        <w:t xml:space="preserve">every vendor or none.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section-5.-evidence-requirements"/>
      <w:r>
        <w:t xml:space="preserve">Section 5. Evidence requirements</w:t>
      </w:r>
      <w:bookmarkEnd w:id="28"/>
    </w:p>
    <w:p>
      <w:pPr>
        <w:pStyle w:val="FirstParagraph"/>
      </w:pPr>
      <w:r>
        <w:rPr>
          <w:i/>
        </w:rPr>
        <w:t xml:space="preserve">Issued to vendors. This section is the instrument. Send it intact.</w:t>
      </w:r>
    </w:p>
    <w:p>
      <w:pPr>
        <w:pStyle w:val="BodyText"/>
      </w:pPr>
      <w:r>
        <w:rPr>
          <w:b/>
        </w:rPr>
        <w:t xml:space="preserve">5.1 Definition</w:t>
      </w:r>
    </w:p>
    <w:p>
      <w:pPr>
        <w:pStyle w:val="BodyText"/>
      </w:pPr>
      <w:r>
        <w:t xml:space="preserve">A value proof point is a quantified, independently checkable record that the vendor has</w:t>
      </w:r>
      <w:r>
        <w:t xml:space="preserve"> </w:t>
      </w:r>
      <w:r>
        <w:t xml:space="preserve">delivered a comparable outcome for another customer, stated against a named baseline over a</w:t>
      </w:r>
      <w:r>
        <w:t xml:space="preserve"> </w:t>
      </w:r>
      <w:r>
        <w:t xml:space="preserve">named period. Marketing claims, testimonials and unattributed figures are not proof points.</w:t>
      </w:r>
    </w:p>
    <w:p>
      <w:pPr>
        <w:pStyle w:val="BodyText"/>
      </w:pPr>
      <w:r>
        <w:rPr>
          <w:b/>
        </w:rPr>
        <w:t xml:space="preserve">5.2 Minimum expectations</w:t>
      </w:r>
    </w:p>
    <w:p>
      <w:pPr>
        <w:pStyle w:val="Compact"/>
        <w:numPr>
          <w:ilvl w:val="0"/>
          <w:numId w:val="1008"/>
        </w:numPr>
      </w:pPr>
      <w:r>
        <w:t xml:space="preserve">Every primary metric in Section 2 carries at least one quantified proof point.</w:t>
      </w:r>
    </w:p>
    <w:p>
      <w:pPr>
        <w:pStyle w:val="Compact"/>
        <w:numPr>
          <w:ilvl w:val="0"/>
          <w:numId w:val="1008"/>
        </w:numPr>
      </w:pPr>
      <w:r>
        <w:t xml:space="preserve">At least one proof point names the customer, with permission to reference.</w:t>
      </w:r>
    </w:p>
    <w:p>
      <w:pPr>
        <w:pStyle w:val="Compact"/>
        <w:numPr>
          <w:ilvl w:val="0"/>
          <w:numId w:val="1008"/>
        </w:numPr>
      </w:pPr>
      <w:r>
        <w:t xml:space="preserve">At least one proof point rests on validation the vendor did not produce or commission.</w:t>
      </w:r>
    </w:p>
    <w:p>
      <w:pPr>
        <w:pStyle w:val="Compact"/>
        <w:numPr>
          <w:ilvl w:val="0"/>
          <w:numId w:val="1008"/>
        </w:numPr>
      </w:pPr>
      <w:r>
        <w:t xml:space="preserve">Every proof point states baseline, result, measurement method, time period, and the source</w:t>
      </w:r>
      <w:r>
        <w:t xml:space="preserve"> </w:t>
      </w:r>
      <w:r>
        <w:t xml:space="preserve">of the data.</w:t>
      </w:r>
    </w:p>
    <w:p>
      <w:pPr>
        <w:pStyle w:val="Compact"/>
        <w:numPr>
          <w:ilvl w:val="0"/>
          <w:numId w:val="1008"/>
        </w:numPr>
      </w:pPr>
      <w:r>
        <w:t xml:space="preserve">Every proof point names a person the buyer may contact to verify it.</w:t>
      </w:r>
    </w:p>
    <w:p>
      <w:pPr>
        <w:pStyle w:val="FirstParagraph"/>
      </w:pPr>
      <w:r>
        <w:rPr>
          <w:b/>
        </w:rPr>
        <w:t xml:space="preserve">5.3 Proof point register</w:t>
      </w:r>
    </w:p>
    <w:p>
      <w:pPr>
        <w:pStyle w:val="BodyText"/>
      </w:pPr>
      <w:r>
        <w:t xml:space="preserve">Vendors complete this table in full. Pre-populate the metric column before issue.</w:t>
      </w:r>
    </w:p>
    <w:tbl>
      <w:tblPr>
        <w:tblStyle w:val="Table"/>
        <w:tblW w:type="pct" w:w="4999.999999999998"/>
        <w:tblLook w:firstRow="1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Metric (from Section 2)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Customer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Baseline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Change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Evidence 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produced the evidence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Verification contact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i/>
              </w:rPr>
              <w:t xml:space="preserve">Order-to-cash cycle time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Named, reference permitted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34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20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41 percent reduction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12 months after go-live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Named case study and customer finance report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Customer, not vendor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Name, role, email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5.4 What is not accepted</w:t>
      </w:r>
    </w:p>
    <w:p>
      <w:pPr>
        <w:pStyle w:val="BodyText"/>
      </w:pPr>
      <w:r>
        <w:t xml:space="preserve">State this in the issued document so it cannot be argued later.</w:t>
      </w:r>
    </w:p>
    <w:p>
      <w:pPr>
        <w:pStyle w:val="Compact"/>
        <w:numPr>
          <w:ilvl w:val="0"/>
          <w:numId w:val="1009"/>
        </w:numPr>
      </w:pPr>
      <w:r>
        <w:t xml:space="preserve">Quotations without metrics.</w:t>
      </w:r>
    </w:p>
    <w:p>
      <w:pPr>
        <w:pStyle w:val="Compact"/>
        <w:numPr>
          <w:ilvl w:val="0"/>
          <w:numId w:val="1009"/>
        </w:numPr>
      </w:pPr>
      <w:r>
        <w:t xml:space="preserve">Return-on-investment claims without the formula, the baseline values and the period.</w:t>
      </w:r>
    </w:p>
    <w:p>
      <w:pPr>
        <w:pStyle w:val="Compact"/>
        <w:numPr>
          <w:ilvl w:val="0"/>
          <w:numId w:val="1009"/>
        </w:numPr>
      </w:pPr>
      <w:r>
        <w:t xml:space="preserve">Anonymous references such as</w:t>
      </w:r>
      <w:r>
        <w:t xml:space="preserve"> </w:t>
      </w:r>
      <w:r>
        <w:t xml:space="preserve">“</w:t>
      </w:r>
      <w:r>
        <w:t xml:space="preserve">a global bank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a top ten retailer</w:t>
      </w:r>
      <w:r>
        <w:t xml:space="preserve">”</w:t>
      </w:r>
      <w:r>
        <w:t xml:space="preserve"> </w:t>
      </w:r>
      <w:r>
        <w:t xml:space="preserve">with no route to</w:t>
      </w:r>
      <w:r>
        <w:t xml:space="preserve"> </w:t>
      </w:r>
      <w:r>
        <w:t xml:space="preserve">verification.</w:t>
      </w:r>
    </w:p>
    <w:p>
      <w:pPr>
        <w:pStyle w:val="Compact"/>
        <w:numPr>
          <w:ilvl w:val="0"/>
          <w:numId w:val="1009"/>
        </w:numPr>
      </w:pPr>
      <w:r>
        <w:t xml:space="preserve">Satisfaction scores presented as outcome evidence.</w:t>
      </w:r>
    </w:p>
    <w:p>
      <w:pPr>
        <w:pStyle w:val="Compact"/>
        <w:numPr>
          <w:ilvl w:val="0"/>
          <w:numId w:val="1009"/>
        </w:numPr>
      </w:pPr>
      <w:r>
        <w:t xml:space="preserve">Studies commissioned by the vendor presented as independent validation. These may be</w:t>
      </w:r>
      <w:r>
        <w:t xml:space="preserve"> </w:t>
      </w:r>
      <w:r>
        <w:t xml:space="preserve">submitted, and they are recorded as vendor-produced.</w:t>
      </w:r>
    </w:p>
    <w:p>
      <w:pPr>
        <w:pStyle w:val="Compact"/>
        <w:numPr>
          <w:ilvl w:val="0"/>
          <w:numId w:val="1009"/>
        </w:numPr>
      </w:pPr>
      <w:r>
        <w:t xml:space="preserve">Results from a deployment materially unlike the buyer’s, unless the difference is stated.</w:t>
      </w:r>
    </w:p>
    <w:p>
      <w:pPr>
        <w:pStyle w:val="FirstParagraph"/>
      </w:pPr>
      <w:r>
        <w:rPr>
          <w:b/>
        </w:rPr>
        <w:t xml:space="preserve">5.5 Where evidence does not exist</w:t>
      </w:r>
    </w:p>
    <w:p>
      <w:pPr>
        <w:pStyle w:val="BodyText"/>
      </w:pPr>
      <w:r>
        <w:t xml:space="preserve">Vendors state plainly which claims they cannot yet evidence: new modules, new industries,</w:t>
      </w:r>
      <w:r>
        <w:t xml:space="preserve"> </w:t>
      </w:r>
      <w:r>
        <w:t xml:space="preserve">capabilities not yet in production anywhere. An honest gap is scored above a padded one, and</w:t>
      </w:r>
      <w:r>
        <w:t xml:space="preserve"> </w:t>
      </w:r>
      <w:r>
        <w:t xml:space="preserve">the buyer records both.</w:t>
      </w:r>
    </w:p>
    <w:p>
      <w:pPr>
        <w:pStyle w:val="BodyText"/>
      </w:pPr>
      <w:r>
        <w:rPr>
          <w:b/>
        </w:rPr>
        <w:t xml:space="preserve">5.6 Consequence</w:t>
      </w:r>
    </w:p>
    <w:p>
      <w:pPr>
        <w:pStyle w:val="BodyText"/>
      </w:pPr>
      <w:r>
        <w:t xml:space="preserve">A claim with no admissible evidence carries no weight in the evaluation. It is not scored</w:t>
      </w:r>
      <w:r>
        <w:t xml:space="preserve"> </w:t>
      </w:r>
      <w:r>
        <w:t xml:space="preserve">low; it is not scored. State this at issue.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X492c92ccc64067ce54bb526e92fd22f88ee6412"/>
      <w:r>
        <w:t xml:space="preserve">Section 6. Commercial and engagement guardrails</w:t>
      </w:r>
      <w:bookmarkEnd w:id="29"/>
    </w:p>
    <w:p>
      <w:pPr>
        <w:pStyle w:val="FirstParagraph"/>
      </w:pPr>
      <w:r>
        <w:rPr>
          <w:i/>
        </w:rPr>
        <w:t xml:space="preserve">Issued to vendors. Edit to fit your policy.</w:t>
      </w:r>
    </w:p>
    <w:p>
      <w:pPr>
        <w:pStyle w:val="BodyText"/>
      </w:pPr>
      <w:r>
        <w:t xml:space="preserve">Standing guardrails worth issuing:</w:t>
      </w:r>
    </w:p>
    <w:p>
      <w:pPr>
        <w:pStyle w:val="Compact"/>
        <w:numPr>
          <w:ilvl w:val="0"/>
          <w:numId w:val="1010"/>
        </w:numPr>
      </w:pPr>
      <w:r>
        <w:t xml:space="preserve">Value models are supplied in a buyer-editable format with formulas visible and unlocked.</w:t>
      </w:r>
    </w:p>
    <w:p>
      <w:pPr>
        <w:pStyle w:val="Compact"/>
        <w:numPr>
          <w:ilvl w:val="0"/>
          <w:numId w:val="1010"/>
        </w:numPr>
      </w:pPr>
      <w:r>
        <w:t xml:space="preserve">A vendor calculator is admissible only if every assumption can be inspected, changed and</w:t>
      </w:r>
      <w:r>
        <w:t xml:space="preserve"> </w:t>
      </w:r>
      <w:r>
        <w:t xml:space="preserve">re-run by the buyer without the vendor present.</w:t>
      </w:r>
    </w:p>
    <w:p>
      <w:pPr>
        <w:pStyle w:val="Compact"/>
        <w:numPr>
          <w:ilvl w:val="0"/>
          <w:numId w:val="1010"/>
        </w:numPr>
      </w:pPr>
      <w:r>
        <w:t xml:space="preserve">Discount is not an evaluation criterion. Price is evaluated separately and after value.</w:t>
      </w:r>
    </w:p>
    <w:p>
      <w:pPr>
        <w:pStyle w:val="Compact"/>
        <w:numPr>
          <w:ilvl w:val="0"/>
          <w:numId w:val="1010"/>
        </w:numPr>
      </w:pPr>
      <w:r>
        <w:t xml:space="preserve">Contracts should permit value-linked terms tied to the metrics in Section 2, such as</w:t>
      </w:r>
      <w:r>
        <w:t xml:space="preserve"> </w:t>
      </w:r>
      <w:r>
        <w:t xml:space="preserve">service credits, earn-backs, or extension options conditional on measured results.</w:t>
      </w:r>
    </w:p>
    <w:p>
      <w:pPr>
        <w:pStyle w:val="Compact"/>
        <w:numPr>
          <w:ilvl w:val="0"/>
          <w:numId w:val="1010"/>
        </w:numPr>
      </w:pPr>
      <w:r>
        <w:t xml:space="preserve">The buyer retains the right to contact any named reference directly.</w:t>
      </w:r>
    </w:p>
    <w:p>
      <w:pPr>
        <w:pStyle w:val="Compact"/>
        <w:numPr>
          <w:ilvl w:val="0"/>
          <w:numId w:val="1010"/>
        </w:numPr>
      </w:pPr>
      <w:r>
        <w:t xml:space="preserve">The buyer retains the right to re-measure the Section 2 metrics after implementation and</w:t>
      </w:r>
      <w:r>
        <w:t xml:space="preserve"> </w:t>
      </w:r>
      <w:r>
        <w:t xml:space="preserve">to publish the result internally.</w:t>
      </w:r>
    </w:p>
    <w:p>
      <w:pPr>
        <w:pStyle w:val="FirstParagraph"/>
      </w:pPr>
      <w:r>
        <w:t xml:space="preserve">Your additional guardrails: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section-7.-submission"/>
      <w:r>
        <w:t xml:space="preserve">Section 7. Submission</w:t>
      </w:r>
      <w:bookmarkEnd w:id="30"/>
    </w:p>
    <w:p>
      <w:pPr>
        <w:pStyle w:val="FirstParagraph"/>
      </w:pPr>
      <w:r>
        <w:rPr>
          <w:i/>
        </w:rPr>
        <w:t xml:space="preserve">Issued to vendors.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RFV issued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Clarification questions due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Buyer responses to questions circulated to all vendors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Responses due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Reference verification window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Decision target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Format</w:t>
      </w:r>
    </w:p>
    <w:p>
      <w:pPr>
        <w:pStyle w:val="Compact"/>
        <w:numPr>
          <w:ilvl w:val="0"/>
          <w:numId w:val="1012"/>
        </w:numPr>
      </w:pPr>
      <w:r>
        <w:t xml:space="preserve">Required file formats: ______________________________</w:t>
      </w:r>
    </w:p>
    <w:p>
      <w:pPr>
        <w:pStyle w:val="Compact"/>
        <w:numPr>
          <w:ilvl w:val="0"/>
          <w:numId w:val="1012"/>
        </w:numPr>
      </w:pPr>
      <w:r>
        <w:t xml:space="preserve">Value model supplied as: ______________________________</w:t>
      </w:r>
    </w:p>
    <w:p>
      <w:pPr>
        <w:pStyle w:val="Compact"/>
        <w:numPr>
          <w:ilvl w:val="0"/>
          <w:numId w:val="1012"/>
        </w:numPr>
      </w:pPr>
      <w:r>
        <w:t xml:space="preserve">Submission address or portal: ______________________________</w:t>
      </w:r>
    </w:p>
    <w:p>
      <w:pPr>
        <w:pStyle w:val="Compact"/>
        <w:numPr>
          <w:ilvl w:val="0"/>
          <w:numId w:val="1012"/>
        </w:numPr>
      </w:pPr>
      <w:r>
        <w:t xml:space="preserve">Subject line convention: ______________________________</w:t>
      </w:r>
    </w:p>
    <w:p>
      <w:pPr>
        <w:pStyle w:val="FirstParagraph"/>
      </w:pPr>
      <w:r>
        <w:rPr>
          <w:b/>
        </w:rPr>
        <w:t xml:space="preserve">Contacts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Name and title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Contact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Procurement lead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Business owner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Finance contact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Technical contact</w:t>
            </w:r>
          </w:p>
        </w:tc>
        <w:tc>
          <w:p/>
        </w:tc>
        <w:tc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section-8.-buyers-internal-record"/>
      <w:r>
        <w:t xml:space="preserve">Section 8. Buyer’s internal record</w:t>
      </w:r>
      <w:bookmarkEnd w:id="31"/>
    </w:p>
    <w:p>
      <w:pPr>
        <w:pStyle w:val="FirstParagraph"/>
      </w:pPr>
      <w:r>
        <w:rPr>
          <w:i/>
        </w:rPr>
        <w:t xml:space="preserve">Not issued. Completed after responses arrive.</w:t>
      </w:r>
    </w:p>
    <w:p>
      <w:pPr>
        <w:pStyle w:val="BodyText"/>
      </w:pPr>
      <w:r>
        <w:t xml:space="preserve">For each vendor, record what was accepted, what was rejected, and why. This is the document</w:t>
      </w:r>
      <w:r>
        <w:t xml:space="preserve"> </w:t>
      </w:r>
      <w:r>
        <w:t xml:space="preserve">you will want twelve months after signature, when someone asks what the vendor actually</w:t>
      </w:r>
      <w:r>
        <w:t xml:space="preserve"> </w:t>
      </w:r>
      <w:r>
        <w:t xml:space="preserve">committed to.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Vendor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Metrics with admissible evidence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Metrics with no admissible evidence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Claims accepted on vendor-produced evidence only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References contacted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</w:rPr>
        <w:t xml:space="preserve">Attribution: RFV, Request for Value. From The Value Standard by Michael Brey.</w:t>
      </w:r>
      <w:r>
        <w:rPr>
          <w:i/>
        </w:rPr>
        <w:t xml:space="preserve"> </w:t>
      </w:r>
      <w:r>
        <w:rPr>
          <w:i/>
        </w:rPr>
        <w:t xml:space="preserve">valuelattice.com. Licensed CC BY 4.0.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Brey</dc:creator>
  <cp:keywords/>
  <dcterms:created xsi:type="dcterms:W3CDTF">2026-08-29T18:18:41Z</dcterms:created>
  <dcterms:modified xsi:type="dcterms:W3CDTF">2026-08-29T18:18:41Z</dcterms:modified>
  <cp:lastModifiedBy>Michael Brey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