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b/>
          <w:color w:val="2E75B6"/>
          <w:sz w:val="18"/>
        </w:rPr>
        <w:t>VALUE LATTICE  ·  GUIDES</w:t>
      </w:r>
    </w:p>
    <w:p>
      <w:pPr>
        <w:spacing w:after="60"/>
      </w:pPr>
      <w:r>
        <w:rPr>
          <w:rFonts w:ascii="Georgia" w:hAnsi="Georgia" w:eastAsia="Georgia"/>
          <w:b/>
          <w:color w:val="1F3A5F"/>
          <w:sz w:val="44"/>
        </w:rPr>
        <w:t>Questions Before and During a Request for Value</w:t>
      </w:r>
    </w:p>
    <w:p>
      <w:pPr>
        <w:spacing w:after="160"/>
      </w:pPr>
      <w:r>
        <w:rPr>
          <w:rFonts w:ascii="Georgia" w:hAnsi="Georgia" w:eastAsia="Georgia"/>
          <w:i/>
          <w:color w:val="1F3A5F"/>
          <w:sz w:val="28"/>
        </w:rPr>
        <w:t>and the answers that should worry you</w:t>
      </w:r>
    </w:p>
    <w:p>
      <w:pPr>
        <w:spacing w:after="160" w:line="300" w:lineRule="auto"/>
      </w:pPr>
      <w:r>
        <w:rPr>
          <w:color w:val="555555"/>
        </w:rPr>
        <w:t>A question guide for the buyer. Part 1 is asked inside your own organization before the Request for Value is written. Part 2 is asked of suppliers once it has been issued. Each question names what it brings out, when to ask it, the answer that should worry you, and the part of the Request for Value it changes.</w:t>
      </w:r>
    </w:p>
    <w:p>
      <w:pPr>
        <w:pStyle w:val="Heading2"/>
        <w:spacing w:before="280" w:after="120"/>
      </w:pPr>
      <w:r>
        <w:rPr>
          <w:rFonts w:ascii="Georgia" w:hAnsi="Georgia" w:eastAsia="Georgia"/>
          <w:b/>
          <w:color w:val="1F3A5F"/>
          <w:sz w:val="26"/>
        </w:rPr>
        <w:t>Why the buyer asks first</w:t>
      </w:r>
    </w:p>
    <w:p>
      <w:pPr>
        <w:spacing w:after="120" w:line="288" w:lineRule="auto"/>
      </w:pPr>
      <w:r>
        <w:t>Suppliers prepare for every serious deal with a set of discovery questions. They time them, listen for what people avoid, and use the answers to write the business case that later goes to the investment committee. It works, which is why the case usually arrives from the supplier's side of the table.</w:t>
      </w:r>
    </w:p>
    <w:p>
      <w:pPr>
        <w:spacing w:after="120" w:line="288" w:lineRule="auto"/>
      </w:pPr>
      <w:r>
        <w:t>This guide gives the buyer the same habit, pointed at its own purchase. The answers become the Request for Value: the one page the business owner writes before any supplier is asked for anything, setting out the outcomes, the metrics with a baseline and a date, the conditions on both sides, the evidence a value claim must carry, and how responses will be compared.</w:t>
      </w:r>
    </w:p>
    <w:p>
      <w:pPr>
        <w:pStyle w:val="Heading2"/>
        <w:spacing w:before="280" w:after="120"/>
      </w:pPr>
      <w:r>
        <w:rPr>
          <w:rFonts w:ascii="Georgia" w:hAnsi="Georgia" w:eastAsia="Georgia"/>
          <w:b/>
          <w:color w:val="1F3A5F"/>
          <w:sz w:val="26"/>
        </w:rPr>
        <w:t>How to use it</w:t>
      </w:r>
    </w:p>
    <w:p>
      <w:pPr>
        <w:pStyle w:val="ListBullet"/>
        <w:spacing w:after="80"/>
      </w:pPr>
      <w:r>
        <w:t>Ask in conversation, not by survey. Part 1 works best one-to-one, because several of these questions get a different answer in a group.</w:t>
      </w:r>
    </w:p>
    <w:p>
      <w:pPr>
        <w:pStyle w:val="ListBullet"/>
        <w:spacing w:after="80"/>
      </w:pPr>
      <w:r>
        <w:t>Write the answer down in the person's own words, with their role and the date. Use the record sheet at the end.</w:t>
      </w:r>
    </w:p>
    <w:p>
      <w:pPr>
        <w:pStyle w:val="ListBullet"/>
        <w:spacing w:after="80"/>
      </w:pPr>
      <w:r>
        <w:t>A worrying answer is not a reason to stop the purchase. It is an entry the Request for Value still has to fix, and it is far cheaper to fix it now than after signature.</w:t>
      </w:r>
    </w:p>
    <w:p>
      <w:pPr>
        <w:pStyle w:val="ListBullet"/>
        <w:spacing w:after="80"/>
      </w:pPr>
      <w:r>
        <w:t>You do not need every question every time. For a small purchase, questions 1, 2, 4 and 9 in Part 1 and questions 1, 2 and 4 in Part 2 cover most of the ground.</w:t>
      </w:r>
    </w:p>
    <w:p>
      <w:pPr>
        <w:pStyle w:val="Heading2"/>
        <w:spacing w:before="280" w:after="120"/>
      </w:pPr>
      <w:r>
        <w:rPr>
          <w:rFonts w:ascii="Georgia" w:hAnsi="Georgia" w:eastAsia="Georgia"/>
          <w:b/>
          <w:color w:val="1F3A5F"/>
          <w:sz w:val="26"/>
        </w:rPr>
        <w:t>Part 1. Inside your organization, before the RFV is written</w:t>
      </w:r>
    </w:p>
    <w:p>
      <w:pPr>
        <w:spacing w:after="100"/>
      </w:pPr>
      <w:r>
        <w:rPr>
          <w:color w:val="555555"/>
        </w:rPr>
        <w:t>Ask the business owner, finance, the operations leads who will live with the change, and IT. Questions marked one-to-one should not be asked in a group meeting.</w:t>
      </w:r>
    </w:p>
    <w:tbl>
      <w:tblPr>
        <w:tblLayout w:type="fixed"/>
        <w:tblLook w:firstColumn="1" w:firstRow="1" w:lastColumn="0" w:lastRow="0" w:noHBand="0" w:noVBand="1" w:val="04A0"/>
        <w:tblLayout w:type="fixed"/>
        <w:tblW w:w="10078" w:type="dxa"/>
      </w:tblPr>
      <w:tblGrid>
        <w:gridCol w:w="432"/>
        <w:gridCol w:w="2664"/>
        <w:gridCol w:w="2015"/>
        <w:gridCol w:w="1655"/>
        <w:gridCol w:w="2088"/>
        <w:gridCol w:w="1224"/>
      </w:tblGrid>
      <w:tr>
        <w:trPr>
          <w:tblHeader/>
          <w:cantSplit/>
        </w:trPr>
        <w:tc>
          <w:tcPr>
            <w:tcW w:type="dxa" w:w="432"/>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w:t>
            </w:r>
          </w:p>
        </w:tc>
        <w:tc>
          <w:tcPr>
            <w:tcW w:type="dxa" w:w="2664"/>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Question</w:t>
            </w:r>
          </w:p>
        </w:tc>
        <w:tc>
          <w:tcPr>
            <w:tcW w:type="dxa" w:w="2016"/>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What it brings out</w:t>
            </w:r>
          </w:p>
        </w:tc>
        <w:tc>
          <w:tcPr>
            <w:tcW w:type="dxa" w:w="1656"/>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When to ask</w:t>
            </w:r>
          </w:p>
        </w:tc>
        <w:tc>
          <w:tcPr>
            <w:tcW w:type="dxa" w:w="2088"/>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The answer that should worry you</w:t>
            </w:r>
          </w:p>
        </w:tc>
        <w:tc>
          <w:tcPr>
            <w:tcW w:type="dxa" w:w="1224"/>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RFV part</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1</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A year after this goes live, what has to be different, and how would you see it?</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The real outcome, in business terms rather than features.</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First conversation with the business owner.</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The answer is the go-live itself, or a list of features.</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Outcomes</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2</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What is that number today, and who measured it?</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Whether a baseline exists, and whose it is.</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As soon as an outcome is named.</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Nobody knows, or the only figure is a supplier's benchmark.</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Metrics (baseline)</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3</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By what date should the change show up, and when would it count as late?</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A date the result can be checked against.</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After the baseline.</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"It depends on the vendor," or no date at all.</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Metrics (date)</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4</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What will your team have to stop doing, or do differently, for this to work?</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The cost of change the business case usually leaves out.</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With the operations leads, one-to-one.</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"Nothing. The system does it."</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Conditions (buyer side)</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5</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Which decision or approval moves to someone else once this is live?</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Where authority shifts, and who may quietly resist it.</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With the business owner and the function losing the decision.</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No one can say, or the function affected was not asked.</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Conditions (buyer side)</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6</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Is there a conversation about this purchase that nobody is having?</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The concern people are avoiding: capacity, a past failure, a turf issue.</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One-to-one, once the person has spoken freely.</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"No, everyone is aligned." Real alignment can usually name the hard part.</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Conditions</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7</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If this were cancelled tomorrow, who would object, and why?</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Who actually owns the outcome, as distinct from the project.</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With finance or the sponsor.</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Only the project team, or the supplier's contact, would object.</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Outcomes (ownership)</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8</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What would you need to see from a supplier before you believed its claim?</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The evidence standard, in the buyer's terms.</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Before the RFP is drafted.</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"A good demo" or "references" and nothing measurable.</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Evidence standard</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9</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What are we comparing the options against, including doing nothing?</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The comparison basis, and whether the status quo is on the table.</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With finance, before the shortlist.</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Price is the only basis, or doing nothing is not an option anyone has costed.</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Comparison basis</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10</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After the project team disbands, which function checks the result, and on what date?</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Whether anyone is left to verify the outcome.</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Last, once the outcomes are settled.</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"The vendor will report on it," or a team that ends at go-live.</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Evidence standard and conditions</w:t>
            </w:r>
          </w:p>
        </w:tc>
      </w:tr>
    </w:tbl>
    <w:p>
      <w:pPr>
        <w:spacing w:after="40"/>
      </w:pPr>
    </w:p>
    <w:p>
      <w:pPr>
        <w:pStyle w:val="Heading2"/>
        <w:spacing w:before="280" w:after="120"/>
      </w:pPr>
      <w:r>
        <w:rPr>
          <w:rFonts w:ascii="Georgia" w:hAnsi="Georgia" w:eastAsia="Georgia"/>
          <w:b/>
          <w:color w:val="1F3A5F"/>
          <w:sz w:val="26"/>
        </w:rPr>
        <w:t>Part 2. With suppliers, once the RFV has been issued</w:t>
      </w:r>
    </w:p>
    <w:p>
      <w:pPr>
        <w:spacing w:after="100"/>
      </w:pPr>
      <w:r>
        <w:rPr>
          <w:color w:val="555555"/>
        </w:rPr>
        <w:t>Ask in clarification meetings or orals, after each supplier has responded to the Request for Value. Ask every shortlisted supplier the same questions so the answers can be compared.</w:t>
      </w:r>
    </w:p>
    <w:tbl>
      <w:tblPr>
        <w:tblLayout w:type="fixed"/>
        <w:tblLook w:firstColumn="1" w:firstRow="1" w:lastColumn="0" w:lastRow="0" w:noHBand="0" w:noVBand="1" w:val="04A0"/>
        <w:tblLayout w:type="fixed"/>
        <w:tblW w:w="10078" w:type="dxa"/>
      </w:tblPr>
      <w:tblGrid>
        <w:gridCol w:w="432"/>
        <w:gridCol w:w="2664"/>
        <w:gridCol w:w="2015"/>
        <w:gridCol w:w="1655"/>
        <w:gridCol w:w="2088"/>
        <w:gridCol w:w="1224"/>
      </w:tblGrid>
      <w:tr>
        <w:trPr>
          <w:tblHeader/>
          <w:cantSplit/>
        </w:trPr>
        <w:tc>
          <w:tcPr>
            <w:tcW w:type="dxa" w:w="432"/>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w:t>
            </w:r>
          </w:p>
        </w:tc>
        <w:tc>
          <w:tcPr>
            <w:tcW w:type="dxa" w:w="2664"/>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Question</w:t>
            </w:r>
          </w:p>
        </w:tc>
        <w:tc>
          <w:tcPr>
            <w:tcW w:type="dxa" w:w="2016"/>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What it brings out</w:t>
            </w:r>
          </w:p>
        </w:tc>
        <w:tc>
          <w:tcPr>
            <w:tcW w:type="dxa" w:w="1656"/>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When to ask</w:t>
            </w:r>
          </w:p>
        </w:tc>
        <w:tc>
          <w:tcPr>
            <w:tcW w:type="dxa" w:w="2088"/>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The answer that should worry you</w:t>
            </w:r>
          </w:p>
        </w:tc>
        <w:tc>
          <w:tcPr>
            <w:tcW w:type="dxa" w:w="1224"/>
            <w:tcBorders>
              <w:top w:val="single" w:sz="4" w:color="8C8C8C"/>
              <w:left w:val="single" w:sz="4" w:color="8C8C8C"/>
              <w:bottom w:val="single" w:sz="4" w:color="8C8C8C"/>
              <w:right w:val="single" w:sz="4" w:color="8C8C8C"/>
            </w:tcBorders>
            <w:shd w:val="clear" w:color="auto" w:fill="F0EDE6"/>
          </w:tcPr>
          <w:p>
            <w:pPr>
              <w:spacing w:after="0"/>
            </w:pPr>
            <w:r/>
            <w:r>
              <w:rPr>
                <w:b/>
                <w:i w:val="0"/>
                <w:sz w:val="19"/>
              </w:rPr>
              <w:t>RFV part</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1</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Which customers bought this for a similar outcome and did not get it, and what was different there?</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Candor, and the conditions the supplier knows matter.</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After they have presented their references.</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"None," or a vague story that blames the customer.</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Conditions</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2</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What has to be true on our side for the result you state to arrive?</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The buyer-side conditions, from the party that has seen many installs.</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Early in the meeting.</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"Nothing, it works out of the box," or only "executive sponsorship."</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Conditions (buyer side)</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3</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What will you commit to on your side, and by what date?</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Whether the supplier's obligations reach the result or stop at delivery.</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After question 2.</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Only implementation milestones; nothing tied to the outcome.</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Conditions (supplier side)</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4</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Show us one customer's baseline, the measured result, the date, and who measured it.</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Whether the supplier's claims rest on evidence or on estimates.</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Once claims have been made.</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Percentages with no baseline, measured by the supplier itself, or no measurer named.</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Evidence standard</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5</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How did you arrive at the figure in your proposal, and which of the inputs are ours?</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Whose numbers the business case rests on.</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When reviewing their business case.</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Industry averages throughout; none of your own figures in it.</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Metrics</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6</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If the result arrives late, what do you expect to happen?</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Whether a shortfall has a consequence or just a conversation.</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Near the end.</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"We would run a health check," or a change order.</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Evidence standard (contract)</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7</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Which part of our Request for Value would you change, and why?</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Whether they read it, and whether they engage with your outcomes or redirect to their features.</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Near the end.</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No changes at all, or outcomes rewritten as product capabilities.</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All parts</w:t>
            </w:r>
          </w:p>
        </w:tc>
      </w:tr>
      <w:tr>
        <w:trPr>
          <w:cantSplit/>
        </w:trPr>
        <w:tc>
          <w:tcPr>
            <w:tcW w:type="dxa" w:w="432"/>
            <w:tcBorders>
              <w:top w:val="single" w:sz="4" w:color="8C8C8C"/>
              <w:left w:val="single" w:sz="4" w:color="8C8C8C"/>
              <w:bottom w:val="single" w:sz="4" w:color="8C8C8C"/>
              <w:right w:val="single" w:sz="4" w:color="8C8C8C"/>
            </w:tcBorders>
          </w:tcPr>
          <w:p>
            <w:pPr>
              <w:spacing w:after="0"/>
            </w:pPr>
            <w:r/>
            <w:r>
              <w:rPr>
                <w:b/>
                <w:i w:val="0"/>
                <w:sz w:val="19"/>
              </w:rPr>
              <w:t>8</w:t>
            </w:r>
          </w:p>
        </w:tc>
        <w:tc>
          <w:tcPr>
            <w:tcW w:type="dxa" w:w="2664"/>
            <w:tcBorders>
              <w:top w:val="single" w:sz="4" w:color="8C8C8C"/>
              <w:left w:val="single" w:sz="4" w:color="8C8C8C"/>
              <w:bottom w:val="single" w:sz="4" w:color="8C8C8C"/>
              <w:right w:val="single" w:sz="4" w:color="8C8C8C"/>
            </w:tcBorders>
          </w:tcPr>
          <w:p>
            <w:pPr>
              <w:spacing w:after="0"/>
            </w:pPr>
            <w:r/>
            <w:r>
              <w:rPr>
                <w:b/>
                <w:i w:val="0"/>
                <w:sz w:val="19"/>
              </w:rPr>
              <w:t>After go-live, which role on your side answers for the result?</w:t>
            </w:r>
          </w:p>
        </w:tc>
        <w:tc>
          <w:tcPr>
            <w:tcW w:type="dxa" w:w="2016"/>
            <w:tcBorders>
              <w:top w:val="single" w:sz="4" w:color="8C8C8C"/>
              <w:left w:val="single" w:sz="4" w:color="8C8C8C"/>
              <w:bottom w:val="single" w:sz="4" w:color="8C8C8C"/>
              <w:right w:val="single" w:sz="4" w:color="8C8C8C"/>
            </w:tcBorders>
          </w:tcPr>
          <w:p>
            <w:pPr>
              <w:spacing w:after="0"/>
            </w:pPr>
            <w:r/>
            <w:r>
              <w:rPr>
                <w:b w:val="0"/>
                <w:i w:val="0"/>
                <w:sz w:val="19"/>
              </w:rPr>
              <w:t>Accountability that outlasts the sale.</w:t>
            </w:r>
          </w:p>
        </w:tc>
        <w:tc>
          <w:tcPr>
            <w:tcW w:type="dxa" w:w="1656"/>
            <w:tcBorders>
              <w:top w:val="single" w:sz="4" w:color="8C8C8C"/>
              <w:left w:val="single" w:sz="4" w:color="8C8C8C"/>
              <w:bottom w:val="single" w:sz="4" w:color="8C8C8C"/>
              <w:right w:val="single" w:sz="4" w:color="8C8C8C"/>
            </w:tcBorders>
          </w:tcPr>
          <w:p>
            <w:pPr>
              <w:spacing w:after="0"/>
            </w:pPr>
            <w:r/>
            <w:r>
              <w:rPr>
                <w:b w:val="0"/>
                <w:i w:val="0"/>
                <w:sz w:val="19"/>
              </w:rPr>
              <w:t>Last.</w:t>
            </w:r>
          </w:p>
        </w:tc>
        <w:tc>
          <w:tcPr>
            <w:tcW w:type="dxa" w:w="2088"/>
            <w:tcBorders>
              <w:top w:val="single" w:sz="4" w:color="8C8C8C"/>
              <w:left w:val="single" w:sz="4" w:color="8C8C8C"/>
              <w:bottom w:val="single" w:sz="4" w:color="8C8C8C"/>
              <w:right w:val="single" w:sz="4" w:color="8C8C8C"/>
            </w:tcBorders>
          </w:tcPr>
          <w:p>
            <w:pPr>
              <w:spacing w:after="0"/>
            </w:pPr>
            <w:r/>
            <w:r>
              <w:rPr>
                <w:b w:val="0"/>
                <w:i w:val="0"/>
                <w:sz w:val="19"/>
              </w:rPr>
              <w:t>The renewal owner, or a team with no stated responsibility for the outcome.</w:t>
            </w:r>
          </w:p>
        </w:tc>
        <w:tc>
          <w:tcPr>
            <w:tcW w:type="dxa" w:w="1224"/>
            <w:tcBorders>
              <w:top w:val="single" w:sz="4" w:color="8C8C8C"/>
              <w:left w:val="single" w:sz="4" w:color="8C8C8C"/>
              <w:bottom w:val="single" w:sz="4" w:color="8C8C8C"/>
              <w:right w:val="single" w:sz="4" w:color="8C8C8C"/>
            </w:tcBorders>
          </w:tcPr>
          <w:p>
            <w:pPr>
              <w:spacing w:after="0"/>
            </w:pPr>
            <w:r/>
            <w:r>
              <w:rPr>
                <w:b w:val="0"/>
                <w:i w:val="0"/>
                <w:sz w:val="19"/>
              </w:rPr>
              <w:t>Conditions (supplier side)</w:t>
            </w:r>
          </w:p>
        </w:tc>
      </w:tr>
    </w:tbl>
    <w:p>
      <w:pPr>
        <w:spacing w:after="40"/>
      </w:pPr>
    </w:p>
    <w:p>
      <w:pPr>
        <w:pStyle w:val="Heading2"/>
        <w:spacing w:before="280" w:after="120"/>
      </w:pPr>
      <w:r>
        <w:rPr>
          <w:rFonts w:ascii="Georgia" w:hAnsi="Georgia" w:eastAsia="Georgia"/>
          <w:b/>
          <w:color w:val="1F3A5F"/>
          <w:sz w:val="26"/>
        </w:rPr>
        <w:t>Why a good supplier should welcome these</w:t>
      </w:r>
    </w:p>
    <w:p>
      <w:pPr>
        <w:spacing w:after="120" w:line="288" w:lineRule="auto"/>
      </w:pPr>
      <w:r>
        <w:t>A supplier that has delivered before can answer every question in Part 2 from its own records, and the questions cost it nothing. They separate it from a competitor that can only promise. When the result later arrives, it arrives against a record the buyer wrote, which is worth more at the next renewal than anything the supplier could say about itself.</w:t>
      </w:r>
    </w:p>
    <w:p>
      <w:r>
        <w:br w:type="page"/>
      </w:r>
    </w:p>
    <w:p>
      <w:pPr>
        <w:pStyle w:val="Heading2"/>
        <w:spacing w:before="280" w:after="120"/>
      </w:pPr>
      <w:r>
        <w:rPr>
          <w:rFonts w:ascii="Georgia" w:hAnsi="Georgia" w:eastAsia="Georgia"/>
          <w:b/>
          <w:color w:val="1F3A5F"/>
          <w:sz w:val="26"/>
        </w:rPr>
        <w:t>Record sheet</w:t>
      </w:r>
    </w:p>
    <w:p>
      <w:pPr>
        <w:spacing w:after="100"/>
      </w:pPr>
      <w:r>
        <w:rPr>
          <w:color w:val="555555"/>
        </w:rPr>
        <w:t>One line per answer. Mark W where the answer is the kind this guide says should worry you, then note the entry it changes in the Request for Value.</w:t>
      </w:r>
    </w:p>
    <w:tbl>
      <w:tblPr>
        <w:tblLayout w:type="fixed"/>
        <w:tblLook w:firstColumn="1" w:firstRow="1" w:lastColumn="0" w:lastRow="0" w:noHBand="0" w:noVBand="1" w:val="04A0"/>
        <w:tblLayout w:type="fixed"/>
        <w:tblW w:w="9936" w:type="dxa"/>
      </w:tblPr>
      <w:tblGrid>
        <w:gridCol w:w="864"/>
        <w:gridCol w:w="2160"/>
        <w:gridCol w:w="3744"/>
        <w:gridCol w:w="720"/>
        <w:gridCol w:w="2448"/>
      </w:tblGrid>
      <w:tr>
        <w:trPr>
          <w:tblHeader/>
          <w:cantSplit/>
        </w:trPr>
        <w:tc>
          <w:tcPr>
            <w:tcW w:type="dxa" w:w="864"/>
            <w:tcBorders>
              <w:top w:val="single" w:sz="4" w:color="8C8C8C"/>
              <w:left w:val="single" w:sz="4" w:color="8C8C8C"/>
              <w:bottom w:val="single" w:sz="4" w:color="8C8C8C"/>
              <w:right w:val="single" w:sz="4" w:color="8C8C8C"/>
            </w:tcBorders>
            <w:shd w:val="clear" w:color="auto" w:fill="F0EDE6"/>
          </w:tcPr>
          <w:p>
            <w:pPr>
              <w:spacing w:after="0"/>
            </w:pPr>
            <w:r/>
            <w:r>
              <w:rPr>
                <w:b/>
                <w:i w:val="0"/>
                <w:sz w:val="20"/>
              </w:rPr>
              <w:t>Part / #</w:t>
            </w:r>
          </w:p>
        </w:tc>
        <w:tc>
          <w:tcPr>
            <w:tcW w:type="dxa" w:w="2160"/>
            <w:tcBorders>
              <w:top w:val="single" w:sz="4" w:color="8C8C8C"/>
              <w:left w:val="single" w:sz="4" w:color="8C8C8C"/>
              <w:bottom w:val="single" w:sz="4" w:color="8C8C8C"/>
              <w:right w:val="single" w:sz="4" w:color="8C8C8C"/>
            </w:tcBorders>
            <w:shd w:val="clear" w:color="auto" w:fill="F0EDE6"/>
          </w:tcPr>
          <w:p>
            <w:pPr>
              <w:spacing w:after="0"/>
            </w:pPr>
            <w:r/>
            <w:r>
              <w:rPr>
                <w:b/>
                <w:i w:val="0"/>
                <w:sz w:val="20"/>
              </w:rPr>
              <w:t>Who answered (role) and date</w:t>
            </w:r>
          </w:p>
        </w:tc>
        <w:tc>
          <w:tcPr>
            <w:tcW w:type="dxa" w:w="3744"/>
            <w:tcBorders>
              <w:top w:val="single" w:sz="4" w:color="8C8C8C"/>
              <w:left w:val="single" w:sz="4" w:color="8C8C8C"/>
              <w:bottom w:val="single" w:sz="4" w:color="8C8C8C"/>
              <w:right w:val="single" w:sz="4" w:color="8C8C8C"/>
            </w:tcBorders>
            <w:shd w:val="clear" w:color="auto" w:fill="F0EDE6"/>
          </w:tcPr>
          <w:p>
            <w:pPr>
              <w:spacing w:after="0"/>
            </w:pPr>
            <w:r/>
            <w:r>
              <w:rPr>
                <w:b/>
                <w:i w:val="0"/>
                <w:sz w:val="20"/>
              </w:rPr>
              <w:t>Their answer, in their words</w:t>
            </w:r>
          </w:p>
        </w:tc>
        <w:tc>
          <w:tcPr>
            <w:tcW w:type="dxa" w:w="720"/>
            <w:tcBorders>
              <w:top w:val="single" w:sz="4" w:color="8C8C8C"/>
              <w:left w:val="single" w:sz="4" w:color="8C8C8C"/>
              <w:bottom w:val="single" w:sz="4" w:color="8C8C8C"/>
              <w:right w:val="single" w:sz="4" w:color="8C8C8C"/>
            </w:tcBorders>
            <w:shd w:val="clear" w:color="auto" w:fill="F0EDE6"/>
          </w:tcPr>
          <w:p>
            <w:pPr>
              <w:spacing w:after="0"/>
            </w:pPr>
            <w:r/>
            <w:r>
              <w:rPr>
                <w:b/>
                <w:i w:val="0"/>
                <w:sz w:val="20"/>
              </w:rPr>
              <w:t>W</w:t>
            </w:r>
          </w:p>
        </w:tc>
        <w:tc>
          <w:tcPr>
            <w:tcW w:type="dxa" w:w="2448"/>
            <w:tcBorders>
              <w:top w:val="single" w:sz="4" w:color="8C8C8C"/>
              <w:left w:val="single" w:sz="4" w:color="8C8C8C"/>
              <w:bottom w:val="single" w:sz="4" w:color="8C8C8C"/>
              <w:right w:val="single" w:sz="4" w:color="8C8C8C"/>
            </w:tcBorders>
            <w:shd w:val="clear" w:color="auto" w:fill="F0EDE6"/>
          </w:tcPr>
          <w:p>
            <w:pPr>
              <w:spacing w:after="0"/>
            </w:pPr>
            <w:r/>
            <w:r>
              <w:rPr>
                <w:b/>
                <w:i w:val="0"/>
                <w:sz w:val="20"/>
              </w:rPr>
              <w:t>RFV entry it changes</w:t>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r>
        <w:trPr>
          <w:cantSplit/>
          <w:trHeight w:val="720" w:hRule="atLeast"/>
        </w:trPr>
        <w:tc>
          <w:tcPr>
            <w:tcW w:type="dxa" w:w="86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16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3744"/>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720"/>
            <w:tcBorders>
              <w:top w:val="single" w:sz="4" w:color="8C8C8C"/>
              <w:left w:val="single" w:sz="4" w:color="8C8C8C"/>
              <w:bottom w:val="single" w:sz="4" w:color="8C8C8C"/>
              <w:right w:val="single" w:sz="4" w:color="8C8C8C"/>
            </w:tcBorders>
          </w:tcPr>
          <w:p>
            <w:pPr>
              <w:spacing w:after="0"/>
            </w:pPr>
            <w:r/>
            <w:r>
              <w:rPr>
                <w:b w:val="0"/>
                <w:i w:val="0"/>
                <w:sz w:val="20"/>
              </w:rPr>
            </w:r>
          </w:p>
        </w:tc>
        <w:tc>
          <w:tcPr>
            <w:tcW w:type="dxa" w:w="2448"/>
            <w:tcBorders>
              <w:top w:val="single" w:sz="4" w:color="8C8C8C"/>
              <w:left w:val="single" w:sz="4" w:color="8C8C8C"/>
              <w:bottom w:val="single" w:sz="4" w:color="8C8C8C"/>
              <w:right w:val="single" w:sz="4" w:color="8C8C8C"/>
            </w:tcBorders>
          </w:tcPr>
          <w:p>
            <w:pPr>
              <w:spacing w:after="0"/>
            </w:pPr>
            <w:r/>
            <w:r>
              <w:rPr>
                <w:b w:val="0"/>
                <w:i w:val="0"/>
                <w:sz w:val="20"/>
              </w:rPr>
            </w:r>
          </w:p>
        </w:tc>
      </w:tr>
    </w:tbl>
    <w:p>
      <w:pPr>
        <w:spacing w:after="40"/>
      </w:pPr>
    </w:p>
    <w:p>
      <w:pPr>
        <w:spacing w:after="0"/>
      </w:pPr>
      <w:r>
        <w:rPr>
          <w:color w:val="555555"/>
          <w:sz w:val="18"/>
        </w:rPr>
        <w:t>Free to use and adapt under the Creative Commons Attribution 4.0 International license (CC BY 4.0). Keep this line, which credits The Value Standard by Michael Brey and valuelattice.com, and say that you changed it if you did. The full Request for Value pack is at valuelattice.com/guides/.</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55555"/>
        <w:sz w:val="16"/>
      </w:rPr>
      <w:t>Questions Before and During a Request for Value. From The Value Standard by Michael Brey. Licensed CC BY 4.0. valuelattice.com/guides/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Before and During a Request for Value</dc:title>
  <dc:subject>Request for Value</dc:subject>
  <dc:creator>Michael Brey</dc:creator>
  <cp:keywords>Request for Value; procurement; buyer</cp:keywords>
  <dc:description/>
  <cp:lastModifiedBy>Michael Brey</cp:lastModifiedBy>
  <cp:revision>1</cp:revision>
  <dcterms:created xsi:type="dcterms:W3CDTF">2026-10-16T17:00:00Z</dcterms:created>
  <dcterms:modified xsi:type="dcterms:W3CDTF">2026-10-16T17:00:00Z</dcterms:modified>
  <cp:category/>
</cp:coreProperties>
</file>