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3A5F"/>
        </w:rPr>
        <w:t>Purchase Outcome Register, Guide</w:t>
      </w:r>
    </w:p>
    <w:p>
      <w:r>
        <w:rPr>
          <w:i/>
        </w:rPr>
        <w:t>A free working template for CFOs, finance teams, buyers and procurement.</w:t>
      </w:r>
    </w:p>
    <w:p>
      <w:pPr>
        <w:pStyle w:val="Heading1"/>
      </w:pPr>
      <w:r>
        <w:rPr>
          <w:color w:val="1F3A5F"/>
        </w:rPr>
        <w:t>What it is for</w:t>
      </w:r>
    </w:p>
    <w:p>
      <w:r>
        <w:t>A finance initiative usually arrives as a number on a line: take out cost, grow revenue, release cash, reduce exposure, add capacity, or make two companies' statements add up after a deal. Most of the spend that is supposed to deliver it runs through purchases. The register connects each significant purchase to the initiative and the statement line it serves, so the CFO can see whether the commitments cover the target and whether results are arriving.</w:t>
      </w:r>
    </w:p>
    <w:tbl>
      <w:tblPr>
        <w:tblStyle w:val="LightGrid-Accent1"/>
        <w:tblW w:type="auto" w:w="0"/>
        <w:tblLook w:firstColumn="1" w:firstRow="1" w:lastColumn="0" w:lastRow="0" w:noHBand="0" w:noVBand="1" w:val="04A0"/>
      </w:tblPr>
      <w:tblGrid>
        <w:gridCol w:w="3216"/>
        <w:gridCol w:w="3216"/>
        <w:gridCol w:w="3216"/>
      </w:tblGrid>
      <w:tr>
        <w:tc>
          <w:tcPr>
            <w:tcW w:type="dxa" w:w="3216"/>
          </w:tcPr>
          <w:p>
            <w:r>
              <w:t>Use</w:t>
            </w:r>
          </w:p>
        </w:tc>
        <w:tc>
          <w:tcPr>
            <w:tcW w:type="dxa" w:w="3216"/>
          </w:tcPr>
          <w:p>
            <w:r>
              <w:t>What was handed down</w:t>
            </w:r>
          </w:p>
        </w:tc>
        <w:tc>
          <w:tcPr>
            <w:tcW w:type="dxa" w:w="3216"/>
          </w:tcPr>
          <w:p>
            <w:r>
              <w:t>What the workbook does</w:t>
            </w:r>
          </w:p>
        </w:tc>
      </w:tr>
      <w:tr>
        <w:tc>
          <w:tcPr>
            <w:tcW w:type="dxa" w:w="3216"/>
          </w:tcPr>
          <w:p>
            <w:r>
              <w:t>Cost reduction</w:t>
            </w:r>
          </w:p>
        </w:tc>
        <w:tc>
          <w:tcPr>
            <w:tcW w:type="dxa" w:w="3216"/>
          </w:tcPr>
          <w:p>
            <w:r>
              <w:t>A cost-to-serve, COGS or SG&amp;A target handed to the CFO</w:t>
            </w:r>
          </w:p>
        </w:tc>
        <w:tc>
          <w:tcPr>
            <w:tcW w:type="dxa" w:w="3216"/>
          </w:tcPr>
          <w:p>
            <w:r>
              <w:t>Ties each purchase to the line it must lower and shows whether committed savings cover the target</w:t>
            </w:r>
          </w:p>
        </w:tc>
      </w:tr>
      <w:tr>
        <w:tc>
          <w:tcPr>
            <w:tcW w:type="dxa" w:w="3216"/>
          </w:tcPr>
          <w:p>
            <w:r>
              <w:t>Revenue growth</w:t>
            </w:r>
          </w:p>
        </w:tc>
        <w:tc>
          <w:tcPr>
            <w:tcW w:type="dxa" w:w="3216"/>
          </w:tcPr>
          <w:p>
            <w:r>
              <w:t>A growth or price-realization target</w:t>
            </w:r>
          </w:p>
        </w:tc>
        <w:tc>
          <w:tcPr>
            <w:tcW w:type="dxa" w:w="3216"/>
          </w:tcPr>
          <w:p>
            <w:r>
              <w:t>Counts revenue only once the business owner confirms it, so vendor claims never inflate the plan</w:t>
            </w:r>
          </w:p>
        </w:tc>
      </w:tr>
      <w:tr>
        <w:tc>
          <w:tcPr>
            <w:tcW w:type="dxa" w:w="3216"/>
          </w:tcPr>
          <w:p>
            <w:r>
              <w:t>Working capital</w:t>
            </w:r>
          </w:p>
        </w:tc>
        <w:tc>
          <w:tcPr>
            <w:tcW w:type="dxa" w:w="3216"/>
          </w:tcPr>
          <w:p>
            <w:r>
              <w:t>An inventory, receivables or payables target</w:t>
            </w:r>
          </w:p>
        </w:tc>
        <w:tc>
          <w:tcPr>
            <w:tcW w:type="dxa" w:w="3216"/>
          </w:tcPr>
          <w:p>
            <w:r>
              <w:t>Shows cash released on the balance sheet and, separately, the holding costs that reach the income statement</w:t>
            </w:r>
          </w:p>
        </w:tc>
      </w:tr>
      <w:tr>
        <w:tc>
          <w:tcPr>
            <w:tcW w:type="dxa" w:w="3216"/>
          </w:tcPr>
          <w:p>
            <w:r>
              <w:t>Risk reduction</w:t>
            </w:r>
          </w:p>
        </w:tc>
        <w:tc>
          <w:tcPr>
            <w:tcW w:type="dxa" w:w="3216"/>
          </w:tcPr>
          <w:p>
            <w:r>
              <w:t>Supply continuity, compliance or loss exposure</w:t>
            </w:r>
          </w:p>
        </w:tc>
        <w:tc>
          <w:tcPr>
            <w:tcW w:type="dxa" w:w="3216"/>
          </w:tcPr>
          <w:p>
            <w:r>
              <w:t>Records the line exposed (other operating expense, inventory) and the condition each side owns</w:t>
            </w:r>
          </w:p>
        </w:tc>
      </w:tr>
      <w:tr>
        <w:tc>
          <w:tcPr>
            <w:tcW w:type="dxa" w:w="3216"/>
          </w:tcPr>
          <w:p>
            <w:r>
              <w:t>Capacity for growth</w:t>
            </w:r>
          </w:p>
        </w:tc>
        <w:tc>
          <w:tcPr>
            <w:tcW w:type="dxa" w:w="3216"/>
          </w:tcPr>
          <w:p>
            <w:r>
              <w:t>Infrastructure that must carry a higher volume plan</w:t>
            </w:r>
          </w:p>
        </w:tc>
        <w:tc>
          <w:tcPr>
            <w:tcW w:type="dxa" w:w="3216"/>
          </w:tcPr>
          <w:p>
            <w:r>
              <w:t>Measures per unit so growth in volume does not hide or fake the result</w:t>
            </w:r>
          </w:p>
        </w:tc>
      </w:tr>
      <w:tr>
        <w:tc>
          <w:tcPr>
            <w:tcW w:type="dxa" w:w="3216"/>
          </w:tcPr>
          <w:p>
            <w:r>
              <w:t>M&amp;A rationalization</w:t>
            </w:r>
          </w:p>
        </w:tc>
        <w:tc>
          <w:tcPr>
            <w:tcW w:type="dxa" w:w="3216"/>
          </w:tcPr>
          <w:p>
            <w:r>
              <w:t>Two income statements and balance sheets that must align to the deal case</w:t>
            </w:r>
          </w:p>
        </w:tc>
        <w:tc>
          <w:tcPr>
            <w:tcW w:type="dxa" w:w="3216"/>
          </w:tcPr>
          <w:p>
            <w:r>
              <w:t>Builds a combined baseline and states, objective by objective, whether the acquisition met it</w:t>
            </w:r>
          </w:p>
        </w:tc>
      </w:tr>
      <w:tr>
        <w:tc>
          <w:tcPr>
            <w:tcW w:type="dxa" w:w="3216"/>
          </w:tcPr>
          <w:p>
            <w:r>
              <w:t>Board and audit committee</w:t>
            </w:r>
          </w:p>
        </w:tc>
        <w:tc>
          <w:tcPr>
            <w:tcW w:type="dxa" w:w="3216"/>
          </w:tcPr>
          <w:p>
            <w:r>
              <w:t>Oversight of significant commitments</w:t>
            </w:r>
          </w:p>
        </w:tc>
        <w:tc>
          <w:tcPr>
            <w:tcW w:type="dxa" w:w="3216"/>
          </w:tcPr>
          <w:p>
            <w:r>
              <w:t>One page: commitments, results, plan gaps, profit and cash, and whose condition failed</w:t>
            </w:r>
          </w:p>
        </w:tc>
      </w:tr>
    </w:tbl>
    <w:p>
      <w:pPr>
        <w:pStyle w:val="Heading1"/>
      </w:pPr>
      <w:r>
        <w:rPr>
          <w:color w:val="1F3A5F"/>
        </w:rPr>
        <w:t>Sheets, in order</w:t>
      </w:r>
    </w:p>
    <w:tbl>
      <w:tblPr>
        <w:tblStyle w:val="LightGrid-Accent1"/>
        <w:tblW w:type="auto" w:w="0"/>
        <w:tblLook w:firstColumn="1" w:firstRow="1" w:lastColumn="0" w:lastRow="0" w:noHBand="0" w:noVBand="1" w:val="04A0"/>
      </w:tblPr>
      <w:tblGrid>
        <w:gridCol w:w="4824"/>
        <w:gridCol w:w="4824"/>
      </w:tblGrid>
      <w:tr>
        <w:tc>
          <w:tcPr>
            <w:tcW w:type="dxa" w:w="4824"/>
          </w:tcPr>
          <w:p>
            <w:r>
              <w:t>Sheet</w:t>
            </w:r>
          </w:p>
        </w:tc>
        <w:tc>
          <w:tcPr>
            <w:tcW w:type="dxa" w:w="4824"/>
          </w:tcPr>
          <w:p>
            <w:r>
              <w:t>What it holds</w:t>
            </w:r>
          </w:p>
        </w:tc>
      </w:tr>
      <w:tr>
        <w:tc>
          <w:tcPr>
            <w:tcW w:type="dxa" w:w="4824"/>
          </w:tcPr>
          <w:p>
            <w:r>
              <w:t>Start Here</w:t>
            </w:r>
          </w:p>
        </w:tc>
        <w:tc>
          <w:tcPr>
            <w:tcW w:type="dxa" w:w="4824"/>
          </w:tcPr>
          <w:p>
            <w:r>
              <w:t>Purpose, uses, the five rules and a legend</w:t>
            </w:r>
          </w:p>
        </w:tc>
      </w:tr>
      <w:tr>
        <w:tc>
          <w:tcPr>
            <w:tcW w:type="dxa" w:w="4824"/>
          </w:tcPr>
          <w:p>
            <w:r>
              <w:t>Setup</w:t>
            </w:r>
          </w:p>
        </w:tc>
        <w:tc>
          <w:tcPr>
            <w:tcW w:type="dxa" w:w="4824"/>
          </w:tcPr>
          <w:p>
            <w:r>
              <w:t>Company, fiscal year, units, as-of date, holding-cost rate, review threshold and the statement baseline from your records</w:t>
            </w:r>
          </w:p>
        </w:tc>
      </w:tr>
      <w:tr>
        <w:tc>
          <w:tcPr>
            <w:tcW w:type="dxa" w:w="4824"/>
          </w:tcPr>
          <w:p>
            <w:r>
              <w:t>Initiatives</w:t>
            </w:r>
          </w:p>
        </w:tc>
        <w:tc>
          <w:tcPr>
            <w:tcW w:type="dxa" w:w="4824"/>
          </w:tcPr>
          <w:p>
            <w:r>
              <w:t>The targets the CFO was handed, each with its sponsor, statement line, target and date; computes coverage, achieved and status (On track, At risk, Plan gap, Reached)</w:t>
            </w:r>
          </w:p>
        </w:tc>
      </w:tr>
      <w:tr>
        <w:tc>
          <w:tcPr>
            <w:tcW w:type="dxa" w:w="4824"/>
          </w:tcPr>
          <w:p>
            <w:r>
              <w:t>Register</w:t>
            </w:r>
          </w:p>
        </w:tc>
        <w:tc>
          <w:tcPr>
            <w:tcW w:type="dxa" w:w="4824"/>
          </w:tcPr>
          <w:p>
            <w:r>
              <w:t>One row per significant purchase: outcome in the owner's words, statement line, metric, baseline, target, conditions on both sides, latest actual, progress, status, profit effect and cash released, with flags</w:t>
            </w:r>
          </w:p>
        </w:tc>
      </w:tr>
      <w:tr>
        <w:tc>
          <w:tcPr>
            <w:tcW w:type="dxa" w:w="4824"/>
          </w:tcPr>
          <w:p>
            <w:r>
              <w:t>Statement Bridge</w:t>
            </w:r>
          </w:p>
        </w:tc>
        <w:tc>
          <w:tcPr>
            <w:tcW w:type="dxa" w:w="4824"/>
          </w:tcPr>
          <w:p>
            <w:r>
              <w:t>Baseline, favorable effect at target, pro forma and achieved, line by line, with operating income derived and cash shown apart</w:t>
            </w:r>
          </w:p>
        </w:tc>
      </w:tr>
      <w:tr>
        <w:tc>
          <w:tcPr>
            <w:tcW w:type="dxa" w:w="4824"/>
          </w:tcPr>
          <w:p>
            <w:r>
              <w:t>M&amp;A Alignment</w:t>
            </w:r>
          </w:p>
        </w:tc>
        <w:tc>
          <w:tcPr>
            <w:tcW w:type="dxa" w:w="4824"/>
          </w:tcPr>
          <w:p>
            <w:r>
              <w:t>Acquirer plus acquired plus adjustments equals the combined baseline; acquisition objectives each carry a statement of whether met</w:t>
            </w:r>
          </w:p>
        </w:tc>
      </w:tr>
      <w:tr>
        <w:tc>
          <w:tcPr>
            <w:tcW w:type="dxa" w:w="4824"/>
          </w:tcPr>
          <w:p>
            <w:r>
              <w:t>Board Summary</w:t>
            </w:r>
          </w:p>
        </w:tc>
        <w:tc>
          <w:tcPr>
            <w:tcW w:type="dxa" w:w="4824"/>
          </w:tcPr>
          <w:p>
            <w:r>
              <w:t>Tiles, results by initiative, a chart, and behind-or-missed by side</w:t>
            </w:r>
          </w:p>
        </w:tc>
      </w:tr>
    </w:tbl>
    <w:p>
      <w:pPr>
        <w:pStyle w:val="Heading1"/>
      </w:pPr>
      <w:r>
        <w:rPr>
          <w:color w:val="1F3A5F"/>
        </w:rPr>
        <w:t>Six steps</w:t>
      </w:r>
    </w:p>
    <w:p>
      <w:r>
        <w:t>1. In Setup, enter your company details and the statement baseline from your own records. For an acquisition, build the combined baseline in M&amp;A Alignment and set Setup to use it.</w:t>
      </w:r>
    </w:p>
    <w:p>
      <w:r>
        <w:t>2. In Initiatives, enter each target the CFO was handed, with its sponsor, statement line, amount and date.</w:t>
      </w:r>
    </w:p>
    <w:p>
      <w:r>
        <w:t>3. Before the RFP goes out, the business owner fills one Register row per significant purchase and names the initiative it serves. Write the outcome so someone outside the project could check it a year later.</w:t>
      </w:r>
    </w:p>
    <w:p>
      <w:r>
        <w:t>4. Attach the row to the RFP and reference it in the contract.</w:t>
      </w:r>
    </w:p>
    <w:p>
      <w:r>
        <w:t>5. At each check date, enter the latest actual. Progress, status, profit effect and cash released compute. When a line is behind or missed, record whose condition failed.</w:t>
      </w:r>
    </w:p>
    <w:p>
      <w:r>
        <w:t>6. Read Initiatives for plan gaps, Statement Bridge for the pro forma, and Board Summary for the executive committee or board.</w:t>
      </w:r>
    </w:p>
    <w:p>
      <w:pPr>
        <w:pStyle w:val="Heading1"/>
      </w:pPr>
      <w:r>
        <w:rPr>
          <w:color w:val="1F3A5F"/>
        </w:rPr>
        <w:t>Five rules</w:t>
      </w:r>
    </w:p>
    <w:p>
      <w:r>
        <w:t>Keep the balance sheet and income statement apart. Lower inventory frees cash. Only holding costs reach the income statement: storage, handling, insurance and obsolescence, plus interest if the stock is debt financed. The cost of capital is a management figure, not an income statement line.</w:t>
      </w:r>
    </w:p>
    <w:p>
      <w:r>
        <w:t>Revenue is the business owner's claim, never a vendor's. It counts only when the owner confirms it.</w:t>
      </w:r>
    </w:p>
    <w:p>
      <w:r>
        <w:t>Measure per unit where volume moves.</w:t>
      </w:r>
    </w:p>
    <w:p>
      <w:r>
        <w:t>The baseline comes from your own records, whoever proposes how to measure it.</w:t>
      </w:r>
    </w:p>
    <w:p>
      <w:r>
        <w:t>Count only measured progress, capped at the target.</w:t>
      </w:r>
    </w:p>
    <w:p>
      <w:pPr>
        <w:pStyle w:val="Heading1"/>
      </w:pPr>
      <w:r>
        <w:rPr>
          <w:color w:val="1F3A5F"/>
        </w:rPr>
        <w:t>Conventions</w:t>
      </w:r>
    </w:p>
    <w:p>
      <w:r>
        <w:t>Blue text is an input. Shaded cells are calculated; do not overwrite them. Amounts are in the unit set in Setup. Effects are shown as favorable amounts. The workbook opens with a worked example for a fictional distributor; replace it with your own purchases.</w:t>
      </w:r>
    </w:p>
    <w:p>
      <w:r>
        <w:rPr>
          <w:i/>
          <w:sz w:val="18"/>
        </w:rPr>
        <w:t>From The Value Standard by Michael Brey, valuelattice.com/guides/. Licensed CC BY 4.0. Keep this attribution line so the next user can find the current copy.</w:t>
      </w:r>
    </w:p>
    <w:sectPr w:rsidR="00FC693F" w:rsidRPr="0006063C"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Brey</dc:creator>
  <cp:keywords/>
  <dc:description/>
  <cp:lastModifiedBy>Michael Brey</cp:lastModifiedBy>
  <cp:revision>1</cp:revision>
  <dcterms:created xsi:type="dcterms:W3CDTF">2013-12-23T23:15:00Z</dcterms:created>
  <dcterms:modified xsi:type="dcterms:W3CDTF">2013-12-23T23:15:00Z</dcterms:modified>
  <cp:category/>
</cp:coreProperties>
</file>