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evidence-checklist"/>
      <w:r>
        <w:t xml:space="preserve">Evidence Checklist</w:t>
      </w:r>
      <w:bookmarkEnd w:id="20"/>
    </w:p>
    <w:p>
      <w:pPr>
        <w:pStyle w:val="Heading3"/>
      </w:pPr>
      <w:bookmarkStart w:id="21" w:name="X68d0562a7db18901afe13c6689b094990d089d3"/>
      <w:r>
        <w:t xml:space="preserve">What a buyer requires before accepting a value claim</w:t>
      </w:r>
      <w:bookmarkEnd w:id="21"/>
    </w:p>
    <w:p>
      <w:pPr>
        <w:pStyle w:val="Heading3"/>
      </w:pPr>
      <w:bookmarkStart w:id="22" w:name="one-page-version-1.0-august-2026"/>
      <w:r>
        <w:t xml:space="preserve">One page · August 2026</w:t>
      </w:r>
      <w:bookmarkEnd w:id="22"/>
    </w:p>
    <w:p>
      <w:pPr>
        <w:pStyle w:val="FirstParagraph"/>
      </w:pPr>
      <w:r>
        <w:rPr>
          <w:b/>
        </w:rPr>
        <w:t xml:space="preserve">Part of The Value Standard. Free to use, copy, adapt and issue.</w:t>
      </w:r>
      <w:r>
        <w:t xml:space="preserve"> </w:t>
      </w:r>
      <w:r>
        <w:t xml:space="preserve">Published by Value Lattice · valuelattice.com · Licensed CC BY 4.0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Run this against any claim a vendor makes about value. A claim that fails any item in the</w:t>
      </w:r>
      <w:r>
        <w:t xml:space="preserve"> </w:t>
      </w:r>
      <w:r>
        <w:t xml:space="preserve">first group is not scored low. It is not scored.</w:t>
      </w:r>
    </w:p>
    <w:p>
      <w:pPr>
        <w:pStyle w:val="Heading2"/>
      </w:pPr>
      <w:bookmarkStart w:id="23" w:name="admissible"/>
      <w:r>
        <w:t xml:space="preserve">Admissible</w:t>
      </w:r>
      <w:bookmarkEnd w:id="23"/>
    </w:p>
    <w:p>
      <w:pPr>
        <w:pStyle w:val="Compact"/>
        <w:numPr>
          <w:ilvl w:val="0"/>
          <w:numId w:val="1001"/>
        </w:numPr>
      </w:pPr>
      <w:r>
        <w:t xml:space="preserve">☐</w:t>
      </w:r>
      <w:r>
        <w:t xml:space="preserve"> </w:t>
      </w:r>
      <w:r>
        <w:rPr>
          <w:b/>
        </w:rPr>
        <w:t xml:space="preserve">Named metric.</w:t>
      </w:r>
      <w:r>
        <w:t xml:space="preserve"> </w:t>
      </w:r>
      <w:r>
        <w:t xml:space="preserve">The claim attaches to a metric the buyer defined, not one the vendor introduced.</w:t>
      </w:r>
    </w:p>
    <w:p>
      <w:pPr>
        <w:pStyle w:val="Compact"/>
        <w:numPr>
          <w:ilvl w:val="0"/>
          <w:numId w:val="1001"/>
        </w:numPr>
      </w:pPr>
      <w:r>
        <w:t xml:space="preserve">☐</w:t>
      </w:r>
      <w:r>
        <w:t xml:space="preserve"> </w:t>
      </w:r>
      <w:r>
        <w:rPr>
          <w:b/>
        </w:rPr>
        <w:t xml:space="preserve">Stated baseline.</w:t>
      </w:r>
      <w:r>
        <w:t xml:space="preserve"> </w:t>
      </w:r>
      <w:r>
        <w:t xml:space="preserve">There is a starting number, and it is the customer’s number, not a category average.</w:t>
      </w:r>
    </w:p>
    <w:p>
      <w:pPr>
        <w:pStyle w:val="Compact"/>
        <w:numPr>
          <w:ilvl w:val="0"/>
          <w:numId w:val="1001"/>
        </w:numPr>
      </w:pPr>
      <w:r>
        <w:t xml:space="preserve">☐</w:t>
      </w:r>
      <w:r>
        <w:t xml:space="preserve"> </w:t>
      </w:r>
      <w:r>
        <w:rPr>
          <w:b/>
        </w:rPr>
        <w:t xml:space="preserve">Stated result.</w:t>
      </w:r>
      <w:r>
        <w:t xml:space="preserve"> </w:t>
      </w:r>
      <w:r>
        <w:t xml:space="preserve">There is a finishing number measured the same way as the baseline.</w:t>
      </w:r>
    </w:p>
    <w:p>
      <w:pPr>
        <w:pStyle w:val="Compact"/>
        <w:numPr>
          <w:ilvl w:val="0"/>
          <w:numId w:val="1001"/>
        </w:numPr>
      </w:pPr>
      <w:r>
        <w:t xml:space="preserve">☐</w:t>
      </w:r>
      <w:r>
        <w:t xml:space="preserve"> </w:t>
      </w:r>
      <w:r>
        <w:rPr>
          <w:b/>
        </w:rPr>
        <w:t xml:space="preserve">Stated period.</w:t>
      </w:r>
      <w:r>
        <w:t xml:space="preserve"> </w:t>
      </w:r>
      <w:r>
        <w:t xml:space="preserve">The change is bounded in time, and the clock starts at a named event.</w:t>
      </w:r>
    </w:p>
    <w:p>
      <w:pPr>
        <w:pStyle w:val="Compact"/>
        <w:numPr>
          <w:ilvl w:val="0"/>
          <w:numId w:val="1001"/>
        </w:numPr>
      </w:pPr>
      <w:r>
        <w:t xml:space="preserve">☐</w:t>
      </w:r>
      <w:r>
        <w:t xml:space="preserve"> </w:t>
      </w:r>
      <w:r>
        <w:rPr>
          <w:b/>
        </w:rPr>
        <w:t xml:space="preserve">Named source of the data.</w:t>
      </w:r>
      <w:r>
        <w:t xml:space="preserve"> </w:t>
      </w:r>
      <w:r>
        <w:t xml:space="preserve">A system, a report or a person, not</w:t>
      </w:r>
      <w:r>
        <w:t xml:space="preserve"> </w:t>
      </w:r>
      <w:r>
        <w:t xml:space="preserve">“</w:t>
      </w:r>
      <w:r>
        <w:t xml:space="preserve">internal analysis.</w:t>
      </w:r>
      <w:r>
        <w:t xml:space="preserve">”</w:t>
      </w:r>
    </w:p>
    <w:p>
      <w:pPr>
        <w:pStyle w:val="Compact"/>
        <w:numPr>
          <w:ilvl w:val="0"/>
          <w:numId w:val="1001"/>
        </w:numPr>
      </w:pPr>
      <w:r>
        <w:t xml:space="preserve">☐</w:t>
      </w:r>
      <w:r>
        <w:t xml:space="preserve"> </w:t>
      </w:r>
      <w:r>
        <w:rPr>
          <w:b/>
        </w:rPr>
        <w:t xml:space="preserve">A route to verification.</w:t>
      </w:r>
      <w:r>
        <w:t xml:space="preserve"> </w:t>
      </w:r>
      <w:r>
        <w:t xml:space="preserve">A person the buyer may contact, or a document the buyer may read.</w:t>
      </w:r>
    </w:p>
    <w:p>
      <w:pPr>
        <w:pStyle w:val="Heading2"/>
      </w:pPr>
      <w:bookmarkStart w:id="24" w:name="attribution"/>
      <w:r>
        <w:t xml:space="preserve">Attribution</w:t>
      </w:r>
      <w:bookmarkEnd w:id="24"/>
    </w:p>
    <w:p>
      <w:pPr>
        <w:pStyle w:val="Compact"/>
        <w:numPr>
          <w:ilvl w:val="0"/>
          <w:numId w:val="1002"/>
        </w:numPr>
      </w:pPr>
      <w:r>
        <w:t xml:space="preserve">☐</w:t>
      </w:r>
      <w:r>
        <w:t xml:space="preserve"> </w:t>
      </w:r>
      <w:r>
        <w:rPr>
          <w:b/>
        </w:rPr>
        <w:t xml:space="preserve">Who produced the evidence is stated.</w:t>
      </w:r>
      <w:r>
        <w:t xml:space="preserve"> </w:t>
      </w:r>
      <w:r>
        <w:t xml:space="preserve">The vendor, the customer, or a third party.</w:t>
      </w:r>
    </w:p>
    <w:p>
      <w:pPr>
        <w:pStyle w:val="Compact"/>
        <w:numPr>
          <w:ilvl w:val="0"/>
          <w:numId w:val="1002"/>
        </w:numPr>
      </w:pPr>
      <w:r>
        <w:t xml:space="preserve">☐</w:t>
      </w:r>
      <w:r>
        <w:t xml:space="preserve"> </w:t>
      </w:r>
      <w:r>
        <w:rPr>
          <w:b/>
        </w:rPr>
        <w:t xml:space="preserve">Who paid for it is stated.</w:t>
      </w:r>
      <w:r>
        <w:t xml:space="preserve"> </w:t>
      </w:r>
      <w:r>
        <w:t xml:space="preserve">A study commissioned by the vendor is admissible and is recorded as vendor-produced.</w:t>
      </w:r>
    </w:p>
    <w:p>
      <w:pPr>
        <w:pStyle w:val="Compact"/>
        <w:numPr>
          <w:ilvl w:val="0"/>
          <w:numId w:val="1002"/>
        </w:numPr>
      </w:pPr>
      <w:r>
        <w:t xml:space="preserve">☐</w:t>
      </w:r>
      <w:r>
        <w:t xml:space="preserve"> </w:t>
      </w:r>
      <w:r>
        <w:rPr>
          <w:b/>
        </w:rPr>
        <w:t xml:space="preserve">The customer is named</w:t>
      </w:r>
      <w:r>
        <w:t xml:space="preserve">, or the buyer has agreed in advance to accept a described customer and knows why the name is withheld.</w:t>
      </w:r>
    </w:p>
    <w:p>
      <w:pPr>
        <w:pStyle w:val="Compact"/>
        <w:numPr>
          <w:ilvl w:val="0"/>
          <w:numId w:val="1002"/>
        </w:numPr>
      </w:pPr>
      <w:r>
        <w:t xml:space="preserve">☐</w:t>
      </w:r>
      <w:r>
        <w:t xml:space="preserve"> </w:t>
      </w:r>
      <w:r>
        <w:rPr>
          <w:b/>
        </w:rPr>
        <w:t xml:space="preserve">At least one proof point per primary metric rests on evidence the vendor did not produce or commission.</w:t>
      </w:r>
    </w:p>
    <w:p>
      <w:pPr>
        <w:pStyle w:val="Heading2"/>
      </w:pPr>
      <w:bookmarkStart w:id="25" w:name="comparability"/>
      <w:r>
        <w:t xml:space="preserve">Comparability</w:t>
      </w:r>
      <w:bookmarkEnd w:id="25"/>
    </w:p>
    <w:p>
      <w:pPr>
        <w:pStyle w:val="Compact"/>
        <w:numPr>
          <w:ilvl w:val="0"/>
          <w:numId w:val="1003"/>
        </w:numPr>
      </w:pPr>
      <w:r>
        <w:t xml:space="preserve">☐</w:t>
      </w:r>
      <w:r>
        <w:t xml:space="preserve"> </w:t>
      </w:r>
      <w:r>
        <w:rPr>
          <w:b/>
        </w:rPr>
        <w:t xml:space="preserve">The reference is close enough.</w:t>
      </w:r>
      <w:r>
        <w:t xml:space="preserve"> </w:t>
      </w:r>
      <w:r>
        <w:t xml:space="preserve">Size, industry, geography, systems and operating model are stated, and material differences are explained.</w:t>
      </w:r>
    </w:p>
    <w:p>
      <w:pPr>
        <w:pStyle w:val="Compact"/>
        <w:numPr>
          <w:ilvl w:val="0"/>
          <w:numId w:val="1003"/>
        </w:numPr>
      </w:pPr>
      <w:r>
        <w:t xml:space="preserve">☐</w:t>
      </w:r>
      <w:r>
        <w:t xml:space="preserve"> </w:t>
      </w:r>
      <w:r>
        <w:rPr>
          <w:b/>
        </w:rPr>
        <w:t xml:space="preserve">The scope matches.</w:t>
      </w:r>
      <w:r>
        <w:t xml:space="preserve"> </w:t>
      </w:r>
      <w:r>
        <w:t xml:space="preserve">The result covers the same processes the buyer is buying for.</w:t>
      </w:r>
    </w:p>
    <w:p>
      <w:pPr>
        <w:pStyle w:val="Compact"/>
        <w:numPr>
          <w:ilvl w:val="0"/>
          <w:numId w:val="1003"/>
        </w:numPr>
      </w:pPr>
      <w:r>
        <w:t xml:space="preserve">☐</w:t>
      </w:r>
      <w:r>
        <w:t xml:space="preserve"> </w:t>
      </w:r>
      <w:r>
        <w:rPr>
          <w:b/>
        </w:rPr>
        <w:t xml:space="preserve">The conditions are stated.</w:t>
      </w:r>
      <w:r>
        <w:t xml:space="preserve"> </w:t>
      </w:r>
      <w:r>
        <w:t xml:space="preserve">What else changed at that customer during the measurement period.</w:t>
      </w:r>
    </w:p>
    <w:p>
      <w:pPr>
        <w:pStyle w:val="Compact"/>
        <w:numPr>
          <w:ilvl w:val="0"/>
          <w:numId w:val="1003"/>
        </w:numPr>
      </w:pPr>
      <w:r>
        <w:t xml:space="preserve">☐</w:t>
      </w:r>
      <w:r>
        <w:t xml:space="preserve"> </w:t>
      </w:r>
      <w:r>
        <w:rPr>
          <w:b/>
        </w:rPr>
        <w:t xml:space="preserve">The counterfactual is addressed.</w:t>
      </w:r>
      <w:r>
        <w:t xml:space="preserve"> </w:t>
      </w:r>
      <w:r>
        <w:t xml:space="preserve">What the vendor believes would have happened anyway.</w:t>
      </w:r>
    </w:p>
    <w:p>
      <w:pPr>
        <w:pStyle w:val="Heading2"/>
      </w:pPr>
      <w:bookmarkStart w:id="26" w:name="arithmetic"/>
      <w:r>
        <w:t xml:space="preserve">Arithmetic</w:t>
      </w:r>
      <w:bookmarkEnd w:id="26"/>
    </w:p>
    <w:p>
      <w:pPr>
        <w:pStyle w:val="Compact"/>
        <w:numPr>
          <w:ilvl w:val="0"/>
          <w:numId w:val="1004"/>
        </w:numPr>
      </w:pPr>
      <w:r>
        <w:t xml:space="preserve">☐</w:t>
      </w:r>
      <w:r>
        <w:t xml:space="preserve"> </w:t>
      </w:r>
      <w:r>
        <w:rPr>
          <w:b/>
        </w:rPr>
        <w:t xml:space="preserve">The formula is visible.</w:t>
      </w:r>
      <w:r>
        <w:t xml:space="preserve"> </w:t>
      </w:r>
      <w:r>
        <w:t xml:space="preserve">Every return figure shows its calculation.</w:t>
      </w:r>
    </w:p>
    <w:p>
      <w:pPr>
        <w:pStyle w:val="Compact"/>
        <w:numPr>
          <w:ilvl w:val="0"/>
          <w:numId w:val="1004"/>
        </w:numPr>
      </w:pPr>
      <w:r>
        <w:t xml:space="preserve">☐</w:t>
      </w:r>
      <w:r>
        <w:t xml:space="preserve"> </w:t>
      </w:r>
      <w:r>
        <w:rPr>
          <w:b/>
        </w:rPr>
        <w:t xml:space="preserve">The model is editable.</w:t>
      </w:r>
      <w:r>
        <w:t xml:space="preserve"> </w:t>
      </w:r>
      <w:r>
        <w:t xml:space="preserve">The buyer can change an input and re-run it without the vendor present.</w:t>
      </w:r>
    </w:p>
    <w:p>
      <w:pPr>
        <w:pStyle w:val="Compact"/>
        <w:numPr>
          <w:ilvl w:val="0"/>
          <w:numId w:val="1004"/>
        </w:numPr>
      </w:pPr>
      <w:r>
        <w:t xml:space="preserve">☐</w:t>
      </w:r>
      <w:r>
        <w:t xml:space="preserve"> </w:t>
      </w:r>
      <w:r>
        <w:rPr>
          <w:b/>
        </w:rPr>
        <w:t xml:space="preserve">Assumptions are listed separately</w:t>
      </w:r>
      <w:r>
        <w:t xml:space="preserve"> </w:t>
      </w:r>
      <w:r>
        <w:t xml:space="preserve">from results, each with an owner and a confidence level.</w:t>
      </w:r>
    </w:p>
    <w:p>
      <w:pPr>
        <w:pStyle w:val="Compact"/>
        <w:numPr>
          <w:ilvl w:val="0"/>
          <w:numId w:val="1004"/>
        </w:numPr>
      </w:pPr>
      <w:r>
        <w:t xml:space="preserve">☐</w:t>
      </w:r>
      <w:r>
        <w:t xml:space="preserve"> </w:t>
      </w:r>
      <w:r>
        <w:rPr>
          <w:b/>
        </w:rPr>
        <w:t xml:space="preserve">The sensitivity is shown.</w:t>
      </w:r>
      <w:r>
        <w:t xml:space="preserve"> </w:t>
      </w:r>
      <w:r>
        <w:t xml:space="preserve">What the number becomes if the two largest assumptions are wrong by a third.</w:t>
      </w:r>
    </w:p>
    <w:p>
      <w:pPr>
        <w:pStyle w:val="Heading2"/>
      </w:pPr>
      <w:bookmarkStart w:id="27" w:name="durability"/>
      <w:r>
        <w:t xml:space="preserve">Durability</w:t>
      </w:r>
      <w:bookmarkEnd w:id="27"/>
    </w:p>
    <w:p>
      <w:pPr>
        <w:pStyle w:val="Compact"/>
        <w:numPr>
          <w:ilvl w:val="0"/>
          <w:numId w:val="1005"/>
        </w:numPr>
      </w:pPr>
      <w:r>
        <w:t xml:space="preserve">☐</w:t>
      </w:r>
      <w:r>
        <w:t xml:space="preserve"> </w:t>
      </w:r>
      <w:r>
        <w:rPr>
          <w:b/>
        </w:rPr>
        <w:t xml:space="preserve">The result held.</w:t>
      </w:r>
      <w:r>
        <w:t xml:space="preserve"> </w:t>
      </w:r>
      <w:r>
        <w:t xml:space="preserve">The measurement is not a first-quarter figure presented as a run rate.</w:t>
      </w:r>
    </w:p>
    <w:p>
      <w:pPr>
        <w:pStyle w:val="Compact"/>
        <w:numPr>
          <w:ilvl w:val="0"/>
          <w:numId w:val="1005"/>
        </w:numPr>
      </w:pPr>
      <w:r>
        <w:t xml:space="preserve">☐</w:t>
      </w:r>
      <w:r>
        <w:t xml:space="preserve"> </w:t>
      </w:r>
      <w:r>
        <w:rPr>
          <w:b/>
        </w:rPr>
        <w:t xml:space="preserve">What maintained it is stated.</w:t>
      </w:r>
      <w:r>
        <w:t xml:space="preserve"> </w:t>
      </w:r>
      <w:r>
        <w:t xml:space="preserve">Governance, staffing or process changes the customer kept in place.</w:t>
      </w:r>
    </w:p>
    <w:p>
      <w:pPr>
        <w:pStyle w:val="Compact"/>
        <w:numPr>
          <w:ilvl w:val="0"/>
          <w:numId w:val="1005"/>
        </w:numPr>
      </w:pPr>
      <w:r>
        <w:t xml:space="preserve">☐</w:t>
      </w:r>
      <w:r>
        <w:t xml:space="preserve"> </w:t>
      </w:r>
      <w:r>
        <w:rPr>
          <w:b/>
        </w:rPr>
        <w:t xml:space="preserve">Failures are disclosed.</w:t>
      </w:r>
      <w:r>
        <w:t xml:space="preserve"> </w:t>
      </w:r>
      <w:r>
        <w:t xml:space="preserve">The vendor has stated where this has not worked and why.</w:t>
      </w:r>
    </w:p>
    <w:p>
      <w:pPr>
        <w:pStyle w:val="Heading2"/>
      </w:pPr>
      <w:bookmarkStart w:id="28" w:name="record"/>
      <w:r>
        <w:t xml:space="preserve">Record</w:t>
      </w:r>
      <w:bookmarkEnd w:id="28"/>
    </w:p>
    <w:p>
      <w:pPr>
        <w:pStyle w:val="Compact"/>
        <w:numPr>
          <w:ilvl w:val="0"/>
          <w:numId w:val="1006"/>
        </w:numPr>
      </w:pPr>
      <w:r>
        <w:t xml:space="preserve">☐</w:t>
      </w:r>
      <w:r>
        <w:t xml:space="preserve"> </w:t>
      </w:r>
      <w:r>
        <w:rPr>
          <w:b/>
        </w:rPr>
        <w:t xml:space="preserve">The accepted claim is written down</w:t>
      </w:r>
      <w:r>
        <w:t xml:space="preserve">, with its evidence, in a document that outlives the evaluation team.</w:t>
      </w:r>
    </w:p>
    <w:p>
      <w:pPr>
        <w:pStyle w:val="Compact"/>
        <w:numPr>
          <w:ilvl w:val="0"/>
          <w:numId w:val="1006"/>
        </w:numPr>
      </w:pPr>
      <w:r>
        <w:t xml:space="preserve">☐</w:t>
      </w:r>
      <w:r>
        <w:t xml:space="preserve"> </w:t>
      </w:r>
      <w:r>
        <w:rPr>
          <w:b/>
        </w:rPr>
        <w:t xml:space="preserve">The rejected claims are written down too</w:t>
      </w:r>
      <w:r>
        <w:t xml:space="preserve">, with the reason.</w:t>
      </w:r>
    </w:p>
    <w:p>
      <w:pPr>
        <w:pStyle w:val="Compact"/>
        <w:numPr>
          <w:ilvl w:val="0"/>
          <w:numId w:val="1006"/>
        </w:numPr>
      </w:pPr>
      <w:r>
        <w:t xml:space="preserve">☐</w:t>
      </w:r>
      <w:r>
        <w:t xml:space="preserve"> </w:t>
      </w:r>
      <w:r>
        <w:rPr>
          <w:b/>
        </w:rPr>
        <w:t xml:space="preserve">The metric, the baseline and the measurement method are carried into the contract</w:t>
      </w:r>
      <w:r>
        <w:t xml:space="preserve">, so the same numbers govern after signature.</w:t>
      </w:r>
    </w:p>
    <w:p>
      <w:pPr>
        <w:pStyle w:val="Compact"/>
        <w:numPr>
          <w:ilvl w:val="0"/>
          <w:numId w:val="1006"/>
        </w:numPr>
      </w:pPr>
      <w:r>
        <w:t xml:space="preserve">☐</w:t>
      </w:r>
      <w:r>
        <w:t xml:space="preserve"> </w:t>
      </w:r>
      <w:r>
        <w:rPr>
          <w:b/>
        </w:rPr>
        <w:t xml:space="preserve">A re-measurement date is set</w:t>
      </w:r>
      <w:r>
        <w:t xml:space="preserve"> </w:t>
      </w:r>
      <w:r>
        <w:t xml:space="preserve">before the contract is signed, and someone owns it by name.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The two failures this checklist exists to catch.</w:t>
      </w:r>
      <w:r>
        <w:t xml:space="preserve"> </w:t>
      </w:r>
      <w:r>
        <w:t xml:space="preserve">The first is a claim that is true and</w:t>
      </w:r>
      <w:r>
        <w:t xml:space="preserve"> </w:t>
      </w:r>
      <w:r>
        <w:t xml:space="preserve">unverifiable, which cannot be scored. The second is a claim that is verified during</w:t>
      </w:r>
      <w:r>
        <w:t xml:space="preserve"> </w:t>
      </w:r>
      <w:r>
        <w:t xml:space="preserve">evaluation and never measured again, which is most of them.</w:t>
      </w:r>
    </w:p>
    <w:p>
      <w:pPr>
        <w:pStyle w:val="BodyText"/>
      </w:pPr>
      <w:r>
        <w:rPr>
          <w:b/>
        </w:rPr>
        <w:t xml:space="preserve">Using it.</w:t>
      </w:r>
      <w:r>
        <w:t xml:space="preserve"> </w:t>
      </w:r>
      <w:r>
        <w:t xml:space="preserve">Issue the first four groups with your RFV so vendors know the standard before</w:t>
      </w:r>
      <w:r>
        <w:t xml:space="preserve"> </w:t>
      </w:r>
      <w:r>
        <w:t xml:space="preserve">they write. Keep Durability and Record for your own scoring and for the contract. Do not</w:t>
      </w:r>
      <w:r>
        <w:t xml:space="preserve"> </w:t>
      </w:r>
      <w:r>
        <w:t xml:space="preserve">soften an item because a vendor objects to it; the objection is information.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</w:rPr>
        <w:t xml:space="preserve">Attribution: Evidence Checklist. From The Value Standard by Michael Brey.</w:t>
      </w:r>
      <w:r>
        <w:rPr>
          <w:i/>
        </w:rPr>
        <w:t xml:space="preserve"> </w:t>
      </w:r>
      <w:r>
        <w:rPr>
          <w:i/>
        </w:rPr>
        <w:t xml:space="preserve">valuelattice.com. Licensed CC BY 4.0.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Brey</dc:creator>
  <cp:keywords/>
  <dcterms:created xsi:type="dcterms:W3CDTF">2026-08-29T18:18:11Z</dcterms:created>
  <dcterms:modified xsi:type="dcterms:W3CDTF">2026-08-29T18:18:11Z</dcterms:modified>
  <cp:lastModifiedBy>Michael Brey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