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decision-artifact-set"/>
      <w:r>
        <w:t xml:space="preserve">Decision Artifact Set</w:t>
      </w:r>
      <w:bookmarkEnd w:id="20"/>
    </w:p>
    <w:p>
      <w:pPr>
        <w:pStyle w:val="Heading3"/>
      </w:pPr>
      <w:bookmarkStart w:id="21" w:name="version-1.0-october-2026-value-lattice"/>
      <w:r>
        <w:t>October 2026 · Value Lattice</w:t>
      </w:r>
      <w:bookmarkEnd w:id="21"/>
    </w:p>
    <w:p>
      <w:pPr>
        <w:pStyle w:val="FirstParagraph"/>
      </w:pPr>
      <w:r>
        <w:t xml:space="preserve">Three records that keep a purchase decision in view after the contract is signed. The Decision Memo is written when the commitment is made. The Executive Readout is produced on a fixed cadence while the work is underway. The Audit Record is written when realization is complete. All three share one outcome table, so the numbers a buyer commits to are the same numbers the readouts report and the audit checks.</w:t>
      </w:r>
    </w:p>
    <w:tbl>
      <w:tblPr>
        <w:tblStyle w:val="Table"/>
        <w:tblW w:type="pct" w:w="5000.0"/>
        <w:tblLook w:firstRow="1"/>
      </w:tblPr>
      <w:tblGrid>
        <w:gridCol w:w="1568"/>
        <w:gridCol w:w="2117"/>
        <w:gridCol w:w="2117"/>
        <w:gridCol w:w="2117"/>
      </w:tblGrid>
      <w:tr>
        <w:trPr>
          <w:cnfStyle w:firstRow="1"/>
        </w:trPr>
        <w:tc>
          <w:tcPr>
            <w:tcBorders>
              <w:bottom w:val="single"/>
            </w:tcBorders>
            <w:vAlign w:val="bottom"/>
          </w:tcPr>
          <w:p>
            <w:pPr>
              <w:pStyle w:val="Compact"/>
              <w:jc w:val="left"/>
            </w:pPr>
            <w:r>
              <w:t xml:space="preserve">File</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When it is written</w:t>
            </w:r>
          </w:p>
        </w:tc>
        <w:tc>
          <w:tcPr>
            <w:tcBorders>
              <w:bottom w:val="single"/>
            </w:tcBorders>
            <w:vAlign w:val="bottom"/>
          </w:tcPr>
          <w:p>
            <w:pPr>
              <w:pStyle w:val="Compact"/>
              <w:jc w:val="left"/>
            </w:pPr>
            <w:r>
              <w:t xml:space="preserve">Who writes it</w:t>
            </w:r>
          </w:p>
        </w:tc>
      </w:tr>
      <w:tr>
        <w:tc>
          <w:p>
            <w:pPr>
              <w:pStyle w:val="Compact"/>
              <w:jc w:val="left"/>
            </w:pPr>
            <w:r>
              <w:rPr>
                <w:b/>
              </w:rPr>
              <w:t xml:space="preserve">Decision Memo</w:t>
            </w:r>
          </w:p>
        </w:tc>
        <w:tc>
          <w:p>
            <w:pPr>
              <w:pStyle w:val="Compact"/>
              <w:jc w:val="left"/>
            </w:pPr>
            <w:r>
              <w:t xml:space="preserve">The record of what was decided: outcomes, metrics, baselines, targets, assumptions and the conditions on each side.</w:t>
            </w:r>
          </w:p>
        </w:tc>
        <w:tc>
          <w:p>
            <w:pPr>
              <w:pStyle w:val="Compact"/>
              <w:jc w:val="left"/>
            </w:pPr>
            <w:r>
              <w:t xml:space="preserve">At commitment, before signature.</w:t>
            </w:r>
          </w:p>
        </w:tc>
        <w:tc>
          <w:p>
            <w:pPr>
              <w:pStyle w:val="Compact"/>
              <w:jc w:val="left"/>
            </w:pPr>
            <w:r>
              <w:t xml:space="preserve">The business owner, with Finance.</w:t>
            </w:r>
          </w:p>
        </w:tc>
      </w:tr>
      <w:tr>
        <w:tc>
          <w:p>
            <w:pPr>
              <w:pStyle w:val="Compact"/>
              <w:jc w:val="left"/>
            </w:pPr>
            <w:r>
              <w:rPr>
                <w:b/>
              </w:rPr>
              <w:t xml:space="preserve">Executive Readout</w:t>
            </w:r>
          </w:p>
        </w:tc>
        <w:tc>
          <w:p>
            <w:pPr>
              <w:pStyle w:val="Compact"/>
              <w:jc w:val="left"/>
            </w:pPr>
            <w:r>
              <w:t xml:space="preserve">Where each committed outcome stands against plan, which assumptions still hold, and what the decision authority needs to act on.</w:t>
            </w:r>
          </w:p>
        </w:tc>
        <w:tc>
          <w:p>
            <w:pPr>
              <w:pStyle w:val="Compact"/>
              <w:jc w:val="left"/>
            </w:pPr>
            <w:r>
              <w:t xml:space="preserve">On the governance cadence, usually monthly or quarterly.</w:t>
            </w:r>
          </w:p>
        </w:tc>
        <w:tc>
          <w:p>
            <w:pPr>
              <w:pStyle w:val="Compact"/>
              <w:jc w:val="left"/>
            </w:pPr>
            <w:r>
              <w:t xml:space="preserve">The business owner. The vendor supplies data it holds.</w:t>
            </w:r>
          </w:p>
        </w:tc>
      </w:tr>
      <w:tr>
        <w:tc>
          <w:p>
            <w:pPr>
              <w:pStyle w:val="Compact"/>
              <w:jc w:val="left"/>
            </w:pPr>
            <w:r>
              <w:rPr>
                <w:b/>
              </w:rPr>
              <w:t xml:space="preserve">Audit Record</w:t>
            </w:r>
          </w:p>
        </w:tc>
        <w:tc>
          <w:p>
            <w:pPr>
              <w:pStyle w:val="Compact"/>
              <w:jc w:val="left"/>
            </w:pPr>
            <w:r>
              <w:t xml:space="preserve">Expected against actual for every outcome, the variance and its cause, and the lessons written as changes to the next decision.</w:t>
            </w:r>
          </w:p>
        </w:tc>
        <w:tc>
          <w:p>
            <w:pPr>
              <w:pStyle w:val="Compact"/>
              <w:jc w:val="left"/>
            </w:pPr>
            <w:r>
              <w:t xml:space="preserve">At the close of realization.</w:t>
            </w:r>
          </w:p>
        </w:tc>
        <w:tc>
          <w:p>
            <w:pPr>
              <w:pStyle w:val="Compact"/>
              <w:jc w:val="left"/>
            </w:pPr>
            <w:r>
              <w:t xml:space="preserve">The business owner, reviewed by Finance.</w:t>
            </w:r>
          </w:p>
        </w:tc>
      </w:tr>
      <w:tr>
        <w:tc>
          <w:p>
            <w:pPr>
              <w:pStyle w:val="Compact"/>
              <w:jc w:val="left"/>
            </w:pPr>
            <w:r>
              <w:rPr>
                <w:b/>
              </w:rPr>
              <w:t xml:space="preserve">Worked Example</w:t>
            </w:r>
          </w:p>
        </w:tc>
        <w:tc>
          <w:p>
            <w:pPr>
              <w:pStyle w:val="Compact"/>
              <w:jc w:val="left"/>
            </w:pPr>
            <w:r>
              <w:t xml:space="preserve">A completed set for a fictional distribution company, from memo to audit.</w:t>
            </w:r>
          </w:p>
        </w:tc>
        <w:tc>
          <w:p>
            <w:pPr>
              <w:pStyle w:val="Compact"/>
              <w:jc w:val="left"/>
            </w:pPr>
            <w:r>
              <w:t xml:space="preserve">Read it first.</w:t>
            </w:r>
          </w:p>
        </w:tc>
        <w:tc>
          <w:p/>
        </w:tc>
      </w:tr>
      <w:tr>
        <w:tc>
          <w:p>
            <w:pPr>
              <w:pStyle w:val="Compact"/>
              <w:jc w:val="left"/>
            </w:pPr>
            <w:r>
              <w:rPr>
                <w:b/>
              </w:rPr>
              <w:t xml:space="preserve">Decision Artifact Workbook</w:t>
            </w:r>
          </w:p>
        </w:tc>
        <w:tc>
          <w:p>
            <w:pPr>
              <w:pStyle w:val="Compact"/>
              <w:jc w:val="left"/>
            </w:pPr>
            <w:r>
              <w:t xml:space="preserve">The same three records on linked sheets. Planned progress, status, variance and the verdict are calculated.</w:t>
            </w:r>
          </w:p>
        </w:tc>
        <w:tc>
          <w:p>
            <w:pPr>
              <w:pStyle w:val="Compact"/>
              <w:jc w:val="left"/>
            </w:pPr>
            <w:r>
              <w:t xml:space="preserve">Alongside the Word files, or instead of them.</w:t>
            </w:r>
          </w:p>
        </w:tc>
        <w:tc>
          <w:p/>
        </w:tc>
      </w:tr>
    </w:tbl>
    <w:p>
      <w:pPr>
        <w:pStyle w:val="BodyText"/>
      </w:pPr>
      <w:r>
        <w:rPr>
          <w:b/>
        </w:rPr>
        <w:t xml:space="preserve">Free. No sign-up, no email address, no registration.</w:t>
      </w:r>
      <w:r>
        <w:t xml:space="preserve"> </w:t>
      </w:r>
      <w:r>
        <w:t>Licensed CC BY 4.0: use it, change it, put your own name on it, issue it inside your company or to your suppliers. Keep the attribution line so the next reader can find the latest copy.</w:t>
      </w:r>
    </w:p>
    <w:p>
      <w:pPr>
        <w:pStyle w:val="BodyText"/>
      </w:pPr>
      <w:r>
        <w:rPr>
          <w:b/>
        </w:rPr>
        <w:t xml:space="preserve">Start here.</w:t>
      </w:r>
      <w:r>
        <w:t xml:space="preserve"> </w:t>
      </w:r>
      <w:r>
        <w:t xml:space="preserve">Read the worked example, then open the Decision Memo template for a purchase you are about to sign.</w:t>
      </w:r>
    </w:p>
    <w:p>
      <w:pPr>
        <w:pStyle w:val="Heading2"/>
      </w:pPr>
      <w:bookmarkStart w:id="22" w:name="where-the-set-fits"/>
      <w:r>
        <w:t xml:space="preserve">Where the set fits</w:t>
      </w:r>
      <w:bookmarkEnd w:id="22"/>
    </w:p>
    <w:p>
      <w:pPr>
        <w:pStyle w:val="FirstParagraph"/>
      </w:pPr>
      <w:r>
        <w:t xml:space="preserve">The other guides on the same page cover the steps before and around these three.</w:t>
      </w:r>
    </w:p>
    <w:p>
      <w:pPr>
        <w:numPr>
          <w:ilvl w:val="0"/>
          <w:numId w:val="1001"/>
        </w:numPr>
        <w:pStyle w:val="Compact"/>
      </w:pPr>
      <w:r>
        <w:rPr>
          <w:b/>
        </w:rPr>
        <w:t xml:space="preserve">Request for Value</w:t>
      </w:r>
      <w:r>
        <w:t xml:space="preserve">, before the market is asked: what the purchase has to produce, measured how.</w:t>
      </w:r>
    </w:p>
    <w:p>
      <w:pPr>
        <w:numPr>
          <w:ilvl w:val="0"/>
          <w:numId w:val="1001"/>
        </w:numPr>
        <w:pStyle w:val="Compact"/>
      </w:pPr>
      <w:r>
        <w:rPr>
          <w:b/>
        </w:rPr>
        <w:t xml:space="preserve">The Verification Line</w:t>
      </w:r>
      <w:r>
        <w:t xml:space="preserve">, in the contract: how the buyer will know the value arrived, and what follows if it does not.</w:t>
      </w:r>
    </w:p>
    <w:p>
      <w:pPr>
        <w:numPr>
          <w:ilvl w:val="0"/>
          <w:numId w:val="1001"/>
        </w:numPr>
        <w:pStyle w:val="Compact"/>
      </w:pPr>
      <w:r>
        <w:rPr>
          <w:b/>
        </w:rPr>
        <w:t xml:space="preserve">Decision Memo</w:t>
      </w:r>
      <w:r>
        <w:t xml:space="preserve">, at commitment: the outcomes and metrics from the RFV, carried forward unchanged, with the assumptions the decision rests on.</w:t>
      </w:r>
    </w:p>
    <w:p>
      <w:pPr>
        <w:numPr>
          <w:ilvl w:val="0"/>
          <w:numId w:val="1001"/>
        </w:numPr>
        <w:pStyle w:val="Compact"/>
      </w:pPr>
      <w:r>
        <w:rPr>
          <w:b/>
        </w:rPr>
        <w:t xml:space="preserve">Executive Readout</w:t>
      </w:r>
      <w:r>
        <w:t xml:space="preserve">, during execution: the same outcomes, reported against plan on a fixed cadence.</w:t>
      </w:r>
    </w:p>
    <w:p>
      <w:pPr>
        <w:numPr>
          <w:ilvl w:val="0"/>
          <w:numId w:val="1001"/>
        </w:numPr>
        <w:pStyle w:val="Compact"/>
      </w:pPr>
      <w:r>
        <w:rPr>
          <w:b/>
        </w:rPr>
        <w:t xml:space="preserve">Audit Record</w:t>
      </w:r>
      <w:r>
        <w:t xml:space="preserve">, at verification: what was committed, what arrived, and what the next decision should do differently.</w:t>
      </w:r>
    </w:p>
    <w:p>
      <w:pPr>
        <w:pStyle w:val="FirstParagraph"/>
      </w:pPr>
      <w:r>
        <w:t xml:space="preserve">The</w:t>
      </w:r>
      <w:r>
        <w:t xml:space="preserve"> </w:t>
      </w:r>
      <w:r>
        <w:rPr>
          <w:b/>
        </w:rPr>
        <w:t xml:space="preserve">Purchase Outcome Register</w:t>
      </w:r>
      <w:r>
        <w:t xml:space="preserve"> </w:t>
      </w:r>
      <w:r>
        <w:t xml:space="preserve">holds every significant purchase in one place for the CFO and the board. A completed Audit Record is the closing entry for that purchase’s row.</w:t>
      </w:r>
    </w:p>
    <w:p>
      <w:pPr>
        <w:pStyle w:val="Heading2"/>
      </w:pPr>
      <w:bookmarkStart w:id="23" w:name="six-rules-built-in"/>
      <w:r>
        <w:t xml:space="preserve">Six rules built in</w:t>
      </w:r>
      <w:bookmarkEnd w:id="23"/>
    </w:p>
    <w:p>
      <w:pPr>
        <w:numPr>
          <w:ilvl w:val="0"/>
          <w:numId w:val="1002"/>
        </w:numPr>
        <w:pStyle w:val="Compact"/>
      </w:pPr>
      <w:r>
        <w:rPr>
          <w:b/>
        </w:rPr>
        <w:t xml:space="preserve">One outcome table.</w:t>
      </w:r>
      <w:r>
        <w:t xml:space="preserve"> </w:t>
      </w:r>
      <w:r>
        <w:t xml:space="preserve">An outcome ID set in the memo is used unchanged in every readout and in the audit. If a metric or target has to change, the change is recorded with its date, reason and approving body, and the original stays visible.</w:t>
      </w:r>
    </w:p>
    <w:p>
      <w:pPr>
        <w:numPr>
          <w:ilvl w:val="0"/>
          <w:numId w:val="1002"/>
        </w:numPr>
        <w:pStyle w:val="Compact"/>
      </w:pPr>
      <w:r>
        <w:rPr>
          <w:b/>
        </w:rPr>
        <w:t xml:space="preserve">Baselines come from the buyer’s own records</w:t>
      </w:r>
      <w:r>
        <w:t xml:space="preserve">, whoever proposes how to measure them. An outcome with no baseline yet is written down as such, and the first readout establishes it.</w:t>
      </w:r>
    </w:p>
    <w:p>
      <w:pPr>
        <w:numPr>
          <w:ilvl w:val="0"/>
          <w:numId w:val="1002"/>
        </w:numPr>
        <w:pStyle w:val="Compact"/>
      </w:pPr>
      <w:r>
        <w:rPr>
          <w:b/>
        </w:rPr>
        <w:t xml:space="preserve">Every assumption gets a test and a check date.</w:t>
      </w:r>
      <w:r>
        <w:t xml:space="preserve"> </w:t>
      </w:r>
      <w:r>
        <w:t xml:space="preserve">The readout reports each one as holding, under pressure, or failed.</w:t>
      </w:r>
    </w:p>
    <w:p>
      <w:pPr>
        <w:numPr>
          <w:ilvl w:val="0"/>
          <w:numId w:val="1002"/>
        </w:numPr>
        <w:pStyle w:val="Compact"/>
      </w:pPr>
      <w:r>
        <w:rPr>
          <w:b/>
        </w:rPr>
        <w:t xml:space="preserve">Outcomes are held by roles, not by named people.</w:t>
      </w:r>
      <w:r>
        <w:t xml:space="preserve"> </w:t>
      </w:r>
      <w:r>
        <w:t xml:space="preserve">The record has to survive a reorganization or a departure.</w:t>
      </w:r>
    </w:p>
    <w:p>
      <w:pPr>
        <w:numPr>
          <w:ilvl w:val="0"/>
          <w:numId w:val="1002"/>
        </w:numPr>
        <w:pStyle w:val="Compact"/>
      </w:pPr>
      <w:r>
        <w:rPr>
          <w:b/>
        </w:rPr>
        <w:t xml:space="preserve">A readout reports how the decision is performing, not what the project did.</w:t>
      </w:r>
      <w:r>
        <w:t xml:space="preserve"> </w:t>
      </w:r>
      <w:r>
        <w:t xml:space="preserve">Milestones and activity belong in the project plan.</w:t>
      </w:r>
    </w:p>
    <w:p>
      <w:pPr>
        <w:numPr>
          <w:ilvl w:val="0"/>
          <w:numId w:val="1002"/>
        </w:numPr>
        <w:pStyle w:val="Compact"/>
      </w:pPr>
      <w:r>
        <w:rPr>
          <w:b/>
        </w:rPr>
        <w:t xml:space="preserve">Lessons are written as changes.</w:t>
      </w:r>
      <w:r>
        <w:t xml:space="preserve"> </w:t>
      </w:r>
      <w:r>
        <w:t xml:space="preserve">Each lesson in the audit names what the next memo, RFV or contract will do differently.</w:t>
      </w:r>
    </w:p>
    <w:p>
      <w:pPr>
        <w:pStyle w:val="Heading2"/>
      </w:pPr>
      <w:bookmarkStart w:id="24" w:name="X936d95fada2a93be4a88ff08c2abfc198505853"/>
      <w:r>
        <w:t xml:space="preserve">What a vendor that delivers gets from this</w:t>
      </w:r>
      <w:bookmarkEnd w:id="24"/>
    </w:p>
    <w:p>
      <w:pPr>
        <w:pStyle w:val="FirstParagraph"/>
      </w:pPr>
      <w:r>
        <w:t xml:space="preserve">A result recorded by the buyer, against a baseline the buyer set, is the strongest reference a vendor can have. The Audit Record also states whose conditions held and whose did not, so a vendor is not blamed for a shortfall that came from the buyer’s side.</w:t>
      </w:r>
    </w:p>
    <w:p>
      <w:pPr>
        <w:pStyle w:val="FirstParagraph"/>
      </w:pPr>
      <w:r>
        <w:t>Published October 2026. Check valuelattice.com/guides/ for the latest copy before you issue one.</w:t>
      </w:r>
    </w:p>
    <w:p>
      <w:r>
        <w:pict>
          <v:rect style="width:0;height:1.5pt" o:hralign="center" o:hrstd="t" o:hr="t"/>
        </w:pict>
      </w:r>
    </w:p>
    <w:p>
      <w:pPr>
        <w:pStyle w:val="FirstParagraph"/>
      </w:pPr>
      <w:r>
        <w:rPr>
          <w:i/>
        </w:rPr>
        <w:t xml:space="preserve">From The Value Standard by Michael Brey. valuelattice.com/guides/. Licensed CC BY 4.0.</w:t>
      </w:r>
    </w:p>
    <w:p>
      <w:r>
        <w:br w:type="page"/>
      </w:r>
    </w:p>
    <w:p>
      <w:pPr>
        <w:pStyle w:val="Heading1"/>
      </w:pPr>
      <w:bookmarkStart w:id="26" w:name="worked-example-meridian-logistics"/>
      <w:r>
        <w:t xml:space="preserve">Worked Example: Meridian Logistics</w:t>
      </w:r>
      <w:bookmarkEnd w:id="26"/>
    </w:p>
    <w:p>
      <w:pPr>
        <w:pStyle w:val="Heading3"/>
      </w:pPr>
      <w:bookmarkStart w:id="27" w:name="Xf663232cfe700f453ab8fc7e6807a5092635fb9"/>
      <w:r>
        <w:t>A completed Decision Artifact Set, from memo to audit · October 2026</w:t>
      </w:r>
      <w:bookmarkEnd w:id="27"/>
    </w:p>
    <w:p>
      <w:pPr>
        <w:pStyle w:val="FirstParagraph"/>
      </w:pPr>
      <w:r>
        <w:rPr>
          <w:b/>
        </w:rPr>
        <w:t xml:space="preserve">Part of the Decision Artifact Set. Free to use, copy, adapt and issue.</w:t>
      </w:r>
      <w:r>
        <w:t xml:space="preserve"> </w:t>
      </w:r>
      <w:r>
        <w:t xml:space="preserve">Published by Value Lattice · valuelattice.com/guides/ · Licensed CC BY 4.0</w:t>
      </w:r>
    </w:p>
    <w:p>
      <w:r>
        <w:pict>
          <v:rect style="width:0;height:1.5pt" o:hralign="center" o:hrstd="t" o:hr="t"/>
        </w:pict>
      </w:r>
    </w:p>
    <w:p>
      <w:pPr>
        <w:pStyle w:val="FirstParagraph"/>
      </w:pPr>
      <w:r>
        <w:t xml:space="preserve">Meridian Logistics is a fictional distribution company, and every figure here is illustrative. The example follows the one used in The Value Standard. It shows how one outcome table carries from the memo, through a readout at month three, to the audit at month eighteen.</w:t>
      </w:r>
    </w:p>
    <w:p>
      <w:pPr>
        <w:pStyle w:val="Heading2"/>
      </w:pPr>
      <w:bookmarkStart w:id="28" w:name="decision-memo-extract"/>
      <w:r>
        <w:t xml:space="preserve">Decision Memo (extract)</w:t>
      </w:r>
      <w:bookmarkEnd w:id="28"/>
    </w:p>
    <w:p>
      <w:pPr>
        <w:pStyle w:val="FirstParagraph"/>
      </w:pPr>
      <w:r>
        <w:rPr>
          <w:b/>
        </w:rPr>
        <w:t xml:space="preserve">What was decided.</w:t>
      </w:r>
      <w:r>
        <w:t xml:space="preserve"> </w:t>
      </w:r>
      <w:r>
        <w:t xml:space="preserve">Meridian will replace its order processing and warehouse management systems across its distribution centers, to shorten fulfillment, raise inventory accuracy and cut manual work in order handling.</w:t>
      </w:r>
    </w:p>
    <w:tbl>
      <w:tblPr>
        <w:tblStyle w:val="Table"/>
        <w:tblW w:type="pct" w:w="4999.999999999999"/>
        <w:tblLook w:firstRow="1"/>
      </w:tblPr>
      <w:tblGrid>
        <w:gridCol w:w="235"/>
        <w:gridCol w:w="1333"/>
        <w:gridCol w:w="1725"/>
        <w:gridCol w:w="627"/>
        <w:gridCol w:w="784"/>
        <w:gridCol w:w="470"/>
        <w:gridCol w:w="1176"/>
        <w:gridCol w:w="1568"/>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Outcome</w:t>
            </w:r>
          </w:p>
        </w:tc>
        <w:tc>
          <w:tcPr>
            <w:tcBorders>
              <w:bottom w:val="single"/>
            </w:tcBorders>
            <w:vAlign w:val="bottom"/>
          </w:tcPr>
          <w:p>
            <w:pPr>
              <w:pStyle w:val="Compact"/>
              <w:jc w:val="left"/>
            </w:pPr>
            <w:r>
              <w:t xml:space="preserve">Metric</w:t>
            </w:r>
          </w:p>
        </w:tc>
        <w:tc>
          <w:tcPr>
            <w:tcBorders>
              <w:bottom w:val="single"/>
            </w:tcBorders>
            <w:vAlign w:val="bottom"/>
          </w:tcPr>
          <w:p>
            <w:pPr>
              <w:pStyle w:val="Compact"/>
              <w:jc w:val="left"/>
            </w:pPr>
            <w:r>
              <w:t xml:space="preserve">Baseline</w:t>
            </w:r>
          </w:p>
        </w:tc>
        <w:tc>
          <w:tcPr>
            <w:tcBorders>
              <w:bottom w:val="single"/>
            </w:tcBorders>
            <w:vAlign w:val="bottom"/>
          </w:tcPr>
          <w:p>
            <w:pPr>
              <w:pStyle w:val="Compact"/>
              <w:jc w:val="left"/>
            </w:pPr>
            <w:r>
              <w:t xml:space="preserve">Target</w:t>
            </w:r>
          </w:p>
        </w:tc>
        <w:tc>
          <w:tcPr>
            <w:tcBorders>
              <w:bottom w:val="single"/>
            </w:tcBorders>
            <w:vAlign w:val="bottom"/>
          </w:tcPr>
          <w:p>
            <w:pPr>
              <w:pStyle w:val="Compact"/>
              <w:jc w:val="left"/>
            </w:pPr>
            <w:r>
              <w:t xml:space="preserve">Target date</w:t>
            </w:r>
          </w:p>
        </w:tc>
        <w:tc>
          <w:tcPr>
            <w:tcBorders>
              <w:bottom w:val="single"/>
            </w:tcBorders>
            <w:vAlign w:val="bottom"/>
          </w:tcPr>
          <w:p>
            <w:pPr>
              <w:pStyle w:val="Compact"/>
              <w:jc w:val="left"/>
            </w:pPr>
            <w:r>
              <w:t xml:space="preserve">Owning role</w:t>
            </w:r>
          </w:p>
        </w:tc>
        <w:tc>
          <w:tcPr>
            <w:tcBorders>
              <w:bottom w:val="single"/>
            </w:tcBorders>
            <w:vAlign w:val="bottom"/>
          </w:tcPr>
          <w:p>
            <w:pPr>
              <w:pStyle w:val="Compact"/>
              <w:jc w:val="left"/>
            </w:pPr>
            <w:r>
              <w:t xml:space="preserve">Escalation threshold</w:t>
            </w:r>
          </w:p>
        </w:tc>
      </w:tr>
      <w:tr>
        <w:tc>
          <w:p>
            <w:pPr>
              <w:pStyle w:val="Compact"/>
              <w:jc w:val="left"/>
            </w:pPr>
            <w:r>
              <w:t xml:space="preserve">O1</w:t>
            </w:r>
          </w:p>
        </w:tc>
        <w:tc>
          <w:p>
            <w:pPr>
              <w:pStyle w:val="Compact"/>
              <w:jc w:val="left"/>
            </w:pPr>
            <w:r>
              <w:t xml:space="preserve">Orders reach customers faster</w:t>
            </w:r>
          </w:p>
        </w:tc>
        <w:tc>
          <w:p>
            <w:pPr>
              <w:pStyle w:val="Compact"/>
              <w:jc w:val="left"/>
            </w:pPr>
            <w:r>
              <w:t xml:space="preserve">Average fulfillment cycle time, days</w:t>
            </w:r>
          </w:p>
        </w:tc>
        <w:tc>
          <w:p>
            <w:pPr>
              <w:pStyle w:val="Compact"/>
              <w:jc w:val="left"/>
            </w:pPr>
            <w:r>
              <w:t xml:space="preserve">4.2</w:t>
            </w:r>
          </w:p>
        </w:tc>
        <w:tc>
          <w:p>
            <w:pPr>
              <w:pStyle w:val="Compact"/>
              <w:jc w:val="left"/>
            </w:pPr>
            <w:r>
              <w:t xml:space="preserve">2.8</w:t>
            </w:r>
          </w:p>
        </w:tc>
        <w:tc>
          <w:p>
            <w:pPr>
              <w:pStyle w:val="Compact"/>
              <w:jc w:val="left"/>
            </w:pPr>
            <w:r>
              <w:t xml:space="preserve">Month 9</w:t>
            </w:r>
          </w:p>
        </w:tc>
        <w:tc>
          <w:p>
            <w:pPr>
              <w:pStyle w:val="Compact"/>
              <w:jc w:val="left"/>
            </w:pPr>
            <w:r>
              <w:t xml:space="preserve">VP Distribution Operations</w:t>
            </w:r>
          </w:p>
        </w:tc>
        <w:tc>
          <w:p>
            <w:pPr>
              <w:pStyle w:val="Compact"/>
              <w:jc w:val="left"/>
            </w:pPr>
            <w:r>
              <w:t xml:space="preserve">More than 20% behind planned progress</w:t>
            </w:r>
          </w:p>
        </w:tc>
      </w:tr>
      <w:tr>
        <w:tc>
          <w:p>
            <w:pPr>
              <w:pStyle w:val="Compact"/>
              <w:jc w:val="left"/>
            </w:pPr>
            <w:r>
              <w:t xml:space="preserve">O2</w:t>
            </w:r>
          </w:p>
        </w:tc>
        <w:tc>
          <w:p>
            <w:pPr>
              <w:pStyle w:val="Compact"/>
              <w:jc w:val="left"/>
            </w:pPr>
            <w:r>
              <w:t xml:space="preserve">Stock records match the shelves</w:t>
            </w:r>
          </w:p>
        </w:tc>
        <w:tc>
          <w:p>
            <w:pPr>
              <w:pStyle w:val="Compact"/>
              <w:jc w:val="left"/>
            </w:pPr>
            <w:r>
              <w:t xml:space="preserve">Inventory accuracy, all distribution centers</w:t>
            </w:r>
          </w:p>
        </w:tc>
        <w:tc>
          <w:p>
            <w:pPr>
              <w:pStyle w:val="Compact"/>
              <w:jc w:val="left"/>
            </w:pPr>
            <w:r>
              <w:t xml:space="preserve">90%</w:t>
            </w:r>
          </w:p>
        </w:tc>
        <w:tc>
          <w:p>
            <w:pPr>
              <w:pStyle w:val="Compact"/>
              <w:jc w:val="left"/>
            </w:pPr>
            <w:r>
              <w:t xml:space="preserve">95%</w:t>
            </w:r>
          </w:p>
        </w:tc>
        <w:tc>
          <w:p>
            <w:pPr>
              <w:pStyle w:val="Compact"/>
              <w:jc w:val="left"/>
            </w:pPr>
            <w:r>
              <w:t xml:space="preserve">Month 12</w:t>
            </w:r>
          </w:p>
        </w:tc>
        <w:tc>
          <w:p>
            <w:pPr>
              <w:pStyle w:val="Compact"/>
              <w:jc w:val="left"/>
            </w:pPr>
            <w:r>
              <w:t xml:space="preserve">VP Distribution Operations</w:t>
            </w:r>
          </w:p>
        </w:tc>
        <w:tc>
          <w:p>
            <w:pPr>
              <w:pStyle w:val="Compact"/>
              <w:jc w:val="left"/>
            </w:pPr>
            <w:r>
              <w:t xml:space="preserve">More than 20% behind planned progress</w:t>
            </w:r>
          </w:p>
        </w:tc>
      </w:tr>
      <w:tr>
        <w:tc>
          <w:p>
            <w:pPr>
              <w:pStyle w:val="Compact"/>
              <w:jc w:val="left"/>
            </w:pPr>
            <w:r>
              <w:t xml:space="preserve">O3</w:t>
            </w:r>
          </w:p>
        </w:tc>
        <w:tc>
          <w:p>
            <w:pPr>
              <w:pStyle w:val="Compact"/>
              <w:jc w:val="left"/>
            </w:pPr>
            <w:r>
              <w:t xml:space="preserve">The investment pays back</w:t>
            </w:r>
          </w:p>
        </w:tc>
        <w:tc>
          <w:p>
            <w:pPr>
              <w:pStyle w:val="Compact"/>
              <w:jc w:val="left"/>
            </w:pPr>
            <w:r>
              <w:t xml:space="preserve">Month cumulative benefit first exceeds cumulative cost</w:t>
            </w:r>
          </w:p>
        </w:tc>
        <w:tc>
          <w:p>
            <w:pPr>
              <w:pStyle w:val="Compact"/>
              <w:jc w:val="left"/>
            </w:pPr>
            <w:r>
              <w:t xml:space="preserve">Not applicable</w:t>
            </w:r>
          </w:p>
        </w:tc>
        <w:tc>
          <w:p>
            <w:pPr>
              <w:pStyle w:val="Compact"/>
              <w:jc w:val="left"/>
            </w:pPr>
            <w:r>
              <w:t xml:space="preserve">Month 18 or sooner</w:t>
            </w:r>
          </w:p>
        </w:tc>
        <w:tc>
          <w:p>
            <w:pPr>
              <w:pStyle w:val="Compact"/>
              <w:jc w:val="left"/>
            </w:pPr>
            <w:r>
              <w:t xml:space="preserve">Month 18</w:t>
            </w:r>
          </w:p>
        </w:tc>
        <w:tc>
          <w:p>
            <w:pPr>
              <w:pStyle w:val="Compact"/>
              <w:jc w:val="left"/>
            </w:pPr>
            <w:r>
              <w:t xml:space="preserve">Finance partner, Operations</w:t>
            </w:r>
          </w:p>
        </w:tc>
        <w:tc>
          <w:p>
            <w:pPr>
              <w:pStyle w:val="Compact"/>
              <w:jc w:val="left"/>
            </w:pPr>
            <w:r>
              <w:t xml:space="preserve">Forecast later than month 18</w:t>
            </w:r>
          </w:p>
        </w:tc>
      </w:tr>
      <w:tr>
        <w:tc>
          <w:p>
            <w:pPr>
              <w:pStyle w:val="Compact"/>
              <w:jc w:val="left"/>
            </w:pPr>
            <w:r>
              <w:t xml:space="preserve">O4</w:t>
            </w:r>
          </w:p>
        </w:tc>
        <w:tc>
          <w:p>
            <w:pPr>
              <w:pStyle w:val="Compact"/>
              <w:jc w:val="left"/>
            </w:pPr>
            <w:r>
              <w:t xml:space="preserve">Less manual handling of orders</w:t>
            </w:r>
          </w:p>
        </w:tc>
        <w:tc>
          <w:p>
            <w:pPr>
              <w:pStyle w:val="Compact"/>
              <w:jc w:val="left"/>
            </w:pPr>
            <w:r>
              <w:t xml:space="preserve">Reduction in orders needing manual intervention</w:t>
            </w:r>
          </w:p>
        </w:tc>
        <w:tc>
          <w:p>
            <w:pPr>
              <w:pStyle w:val="Compact"/>
              <w:jc w:val="left"/>
            </w:pPr>
            <w:r>
              <w:t xml:space="preserve">0%</w:t>
            </w:r>
          </w:p>
        </w:tc>
        <w:tc>
          <w:p>
            <w:pPr>
              <w:pStyle w:val="Compact"/>
              <w:jc w:val="left"/>
            </w:pPr>
            <w:r>
              <w:t xml:space="preserve">60%</w:t>
            </w:r>
          </w:p>
        </w:tc>
        <w:tc>
          <w:p>
            <w:pPr>
              <w:pStyle w:val="Compact"/>
              <w:jc w:val="left"/>
            </w:pPr>
            <w:r>
              <w:t xml:space="preserve">Month 6</w:t>
            </w:r>
          </w:p>
        </w:tc>
        <w:tc>
          <w:p>
            <w:pPr>
              <w:pStyle w:val="Compact"/>
              <w:jc w:val="left"/>
            </w:pPr>
            <w:r>
              <w:t xml:space="preserve">Director, Order Management</w:t>
            </w:r>
          </w:p>
        </w:tc>
        <w:tc>
          <w:p>
            <w:pPr>
              <w:pStyle w:val="Compact"/>
              <w:jc w:val="left"/>
            </w:pPr>
            <w:r>
              <w:t xml:space="preserve">More than 20% behind planned progress</w:t>
            </w:r>
          </w:p>
        </w:tc>
      </w:tr>
    </w:tbl>
    <w:p>
      <w:pPr>
        <w:pStyle w:val="BodyText"/>
      </w:pPr>
      <w:r>
        <w:t xml:space="preserve">The baseline for O2 is illustrative and is not taken from the book.</w:t>
      </w:r>
    </w:p>
    <w:tbl>
      <w:tblPr>
        <w:tblStyle w:val="Table"/>
        <w:tblW w:type="pct" w:w="5000.0"/>
        <w:tblLook w:firstRow="1"/>
      </w:tblPr>
      <w:tblGrid>
        <w:gridCol w:w="316"/>
        <w:gridCol w:w="2772"/>
        <w:gridCol w:w="712"/>
        <w:gridCol w:w="2772"/>
        <w:gridCol w:w="1346"/>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Assumption</w:t>
            </w:r>
          </w:p>
        </w:tc>
        <w:tc>
          <w:tcPr>
            <w:tcBorders>
              <w:bottom w:val="single"/>
            </w:tcBorders>
            <w:vAlign w:val="bottom"/>
          </w:tcPr>
          <w:p>
            <w:pPr>
              <w:pStyle w:val="Compact"/>
              <w:jc w:val="left"/>
            </w:pPr>
            <w:r>
              <w:t xml:space="preserve">Depends on</w:t>
            </w:r>
          </w:p>
        </w:tc>
        <w:tc>
          <w:tcPr>
            <w:tcBorders>
              <w:bottom w:val="single"/>
            </w:tcBorders>
            <w:vAlign w:val="bottom"/>
          </w:tcPr>
          <w:p>
            <w:pPr>
              <w:pStyle w:val="Compact"/>
              <w:jc w:val="left"/>
            </w:pPr>
            <w:r>
              <w:t xml:space="preserve">How it will be tested</w:t>
            </w:r>
          </w:p>
        </w:tc>
        <w:tc>
          <w:tcPr>
            <w:tcBorders>
              <w:bottom w:val="single"/>
            </w:tcBorders>
            <w:vAlign w:val="bottom"/>
          </w:tcPr>
          <w:p>
            <w:pPr>
              <w:pStyle w:val="Compact"/>
              <w:jc w:val="left"/>
            </w:pPr>
            <w:r>
              <w:t xml:space="preserve">Check date</w:t>
            </w:r>
          </w:p>
        </w:tc>
      </w:tr>
      <w:tr>
        <w:tc>
          <w:p>
            <w:pPr>
              <w:pStyle w:val="Compact"/>
              <w:jc w:val="left"/>
            </w:pPr>
            <w:r>
              <w:t xml:space="preserve">A1</w:t>
            </w:r>
          </w:p>
        </w:tc>
        <w:tc>
          <w:p>
            <w:pPr>
              <w:pStyle w:val="Compact"/>
              <w:jc w:val="left"/>
            </w:pPr>
            <w:r>
              <w:t xml:space="preserve">Staffing at each distribution center stays at planned levels through month 12</w:t>
            </w:r>
          </w:p>
        </w:tc>
        <w:tc>
          <w:p>
            <w:pPr>
              <w:pStyle w:val="Compact"/>
              <w:jc w:val="left"/>
            </w:pPr>
            <w:r>
              <w:t xml:space="preserve">Buyer</w:t>
            </w:r>
          </w:p>
        </w:tc>
        <w:tc>
          <w:p>
            <w:pPr>
              <w:pStyle w:val="Compact"/>
              <w:jc w:val="left"/>
            </w:pPr>
            <w:r>
              <w:t xml:space="preserve">Headcount against plan, each readout</w:t>
            </w:r>
          </w:p>
        </w:tc>
        <w:tc>
          <w:p>
            <w:pPr>
              <w:pStyle w:val="Compact"/>
              <w:jc w:val="left"/>
            </w:pPr>
            <w:r>
              <w:t xml:space="preserve">Every readout</w:t>
            </w:r>
          </w:p>
        </w:tc>
      </w:tr>
      <w:tr>
        <w:tc>
          <w:p>
            <w:pPr>
              <w:pStyle w:val="Compact"/>
              <w:jc w:val="left"/>
            </w:pPr>
            <w:r>
              <w:t xml:space="preserve">A2</w:t>
            </w:r>
          </w:p>
        </w:tc>
        <w:tc>
          <w:p>
            <w:pPr>
              <w:pStyle w:val="Compact"/>
              <w:jc w:val="left"/>
            </w:pPr>
            <w:r>
              <w:t xml:space="preserve">The legacy warehouse system integration is complete on schedule</w:t>
            </w:r>
          </w:p>
        </w:tc>
        <w:tc>
          <w:p>
            <w:pPr>
              <w:pStyle w:val="Compact"/>
              <w:jc w:val="left"/>
            </w:pPr>
            <w:r>
              <w:t xml:space="preserve">Both</w:t>
            </w:r>
          </w:p>
        </w:tc>
        <w:tc>
          <w:p>
            <w:pPr>
              <w:pStyle w:val="Compact"/>
              <w:jc w:val="left"/>
            </w:pPr>
            <w:r>
              <w:t xml:space="preserve">Integration acceptance sign-off</w:t>
            </w:r>
          </w:p>
        </w:tc>
        <w:tc>
          <w:p>
            <w:pPr>
              <w:pStyle w:val="Compact"/>
              <w:jc w:val="left"/>
            </w:pPr>
            <w:r>
              <w:t xml:space="preserve">Month 4</w:t>
            </w:r>
          </w:p>
        </w:tc>
      </w:tr>
      <w:tr>
        <w:tc>
          <w:p>
            <w:pPr>
              <w:pStyle w:val="Compact"/>
              <w:jc w:val="left"/>
            </w:pPr>
            <w:r>
              <w:t xml:space="preserve">A3</w:t>
            </w:r>
          </w:p>
        </w:tc>
        <w:tc>
          <w:p>
            <w:pPr>
              <w:pStyle w:val="Compact"/>
              <w:jc w:val="left"/>
            </w:pPr>
            <w:r>
              <w:t xml:space="preserve">Migrated stock records meet the agreed data quality threshold before each center goes live</w:t>
            </w:r>
          </w:p>
        </w:tc>
        <w:tc>
          <w:p>
            <w:pPr>
              <w:pStyle w:val="Compact"/>
              <w:jc w:val="left"/>
            </w:pPr>
            <w:r>
              <w:t xml:space="preserve">Both</w:t>
            </w:r>
          </w:p>
        </w:tc>
        <w:tc>
          <w:p>
            <w:pPr>
              <w:pStyle w:val="Compact"/>
              <w:jc w:val="left"/>
            </w:pPr>
            <w:r>
              <w:t xml:space="preserve">Sample audit of migrated records before cutover</w:t>
            </w:r>
          </w:p>
        </w:tc>
        <w:tc>
          <w:p>
            <w:pPr>
              <w:pStyle w:val="Compact"/>
              <w:jc w:val="left"/>
            </w:pPr>
            <w:r>
              <w:t xml:space="preserve">Before each cutover</w:t>
            </w:r>
          </w:p>
        </w:tc>
      </w:tr>
    </w:tbl>
    <w:p>
      <w:pPr>
        <w:pStyle w:val="Heading2"/>
      </w:pPr>
      <w:bookmarkStart w:id="29" w:name="executive-readout-month-3"/>
      <w:r>
        <w:t xml:space="preserve">Executive Readout, month 3</w:t>
      </w:r>
      <w:bookmarkEnd w:id="29"/>
    </w:p>
    <w:tbl>
      <w:tblPr>
        <w:tblStyle w:val="Table"/>
        <w:tblW w:type="pct" w:w="0.0"/>
        <w:tblLook w:firstRow="1"/>
      </w:tblPr>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Planned at month 3</w:t>
            </w:r>
          </w:p>
        </w:tc>
        <w:tc>
          <w:tcPr>
            <w:tcBorders>
              <w:bottom w:val="single"/>
            </w:tcBorders>
            <w:vAlign w:val="bottom"/>
          </w:tcPr>
          <w:p>
            <w:pPr>
              <w:pStyle w:val="Compact"/>
              <w:jc w:val="left"/>
            </w:pPr>
            <w:r>
              <w:t xml:space="preserve">Actual</w:t>
            </w:r>
          </w:p>
        </w:tc>
        <w:tc>
          <w:tcPr>
            <w:tcBorders>
              <w:bottom w:val="single"/>
            </w:tcBorders>
            <w:vAlign w:val="bottom"/>
          </w:tcPr>
          <w:p>
            <w:pPr>
              <w:pStyle w:val="Compact"/>
              <w:jc w:val="left"/>
            </w:pPr>
            <w:r>
              <w:t xml:space="preserve">Status</w:t>
            </w:r>
          </w:p>
        </w:tc>
        <w:tc>
          <w:tcPr>
            <w:tcBorders>
              <w:bottom w:val="single"/>
            </w:tcBorders>
            <w:vAlign w:val="bottom"/>
          </w:tcPr>
          <w:p>
            <w:pPr>
              <w:pStyle w:val="Compact"/>
              <w:jc w:val="left"/>
            </w:pPr>
            <w:r>
              <w:t xml:space="preserve">Note</w:t>
            </w:r>
          </w:p>
        </w:tc>
      </w:tr>
      <w:tr>
        <w:tc>
          <w:p>
            <w:pPr>
              <w:pStyle w:val="Compact"/>
              <w:jc w:val="left"/>
            </w:pPr>
            <w:r>
              <w:t xml:space="preserve">O1</w:t>
            </w:r>
          </w:p>
        </w:tc>
        <w:tc>
          <w:p>
            <w:pPr>
              <w:pStyle w:val="Compact"/>
              <w:jc w:val="left"/>
            </w:pPr>
            <w:r>
              <w:t xml:space="preserve">3.73 days</w:t>
            </w:r>
          </w:p>
        </w:tc>
        <w:tc>
          <w:p>
            <w:pPr>
              <w:pStyle w:val="Compact"/>
              <w:jc w:val="left"/>
            </w:pPr>
            <w:r>
              <w:t xml:space="preserve">3.1 days</w:t>
            </w:r>
          </w:p>
        </w:tc>
        <w:tc>
          <w:p>
            <w:pPr>
              <w:pStyle w:val="Compact"/>
              <w:jc w:val="left"/>
            </w:pPr>
            <w:r>
              <w:t xml:space="preserve">On plan</w:t>
            </w:r>
          </w:p>
        </w:tc>
        <w:tc>
          <w:p>
            <w:pPr>
              <w:pStyle w:val="Compact"/>
              <w:jc w:val="left"/>
            </w:pPr>
            <w:r>
              <w:t xml:space="preserve">Ahead of the straight line, not yet at target</w:t>
            </w:r>
          </w:p>
        </w:tc>
      </w:tr>
      <w:tr>
        <w:tc>
          <w:p>
            <w:pPr>
              <w:pStyle w:val="Compact"/>
              <w:jc w:val="left"/>
            </w:pPr>
            <w:r>
              <w:t xml:space="preserve">O2</w:t>
            </w:r>
          </w:p>
        </w:tc>
        <w:tc>
          <w:p>
            <w:pPr>
              <w:pStyle w:val="Compact"/>
              <w:jc w:val="left"/>
            </w:pPr>
            <w:r>
              <w:t xml:space="preserve">91.25%</w:t>
            </w:r>
          </w:p>
        </w:tc>
        <w:tc>
          <w:p>
            <w:pPr>
              <w:pStyle w:val="Compact"/>
              <w:jc w:val="left"/>
            </w:pPr>
            <w:r>
              <w:t xml:space="preserve">91%</w:t>
            </w:r>
          </w:p>
        </w:tc>
        <w:tc>
          <w:p>
            <w:pPr>
              <w:pStyle w:val="Compact"/>
              <w:jc w:val="left"/>
            </w:pPr>
            <w:r>
              <w:t xml:space="preserve">Behind</w:t>
            </w:r>
          </w:p>
        </w:tc>
        <w:tc>
          <w:p>
            <w:pPr>
              <w:pStyle w:val="Compact"/>
              <w:jc w:val="left"/>
            </w:pPr>
            <w:r>
              <w:t xml:space="preserve">Data migration issue at one center</w:t>
            </w:r>
          </w:p>
        </w:tc>
      </w:tr>
      <w:tr>
        <w:tc>
          <w:p>
            <w:pPr>
              <w:pStyle w:val="Compact"/>
              <w:jc w:val="left"/>
            </w:pPr>
            <w:r>
              <w:t xml:space="preserve">O3</w:t>
            </w:r>
          </w:p>
        </w:tc>
        <w:tc>
          <w:p>
            <w:pPr>
              <w:pStyle w:val="Compact"/>
              <w:jc w:val="left"/>
            </w:pPr>
            <w:r>
              <w:t xml:space="preserve">Breakeven by month 18</w:t>
            </w:r>
          </w:p>
        </w:tc>
        <w:tc>
          <w:p>
            <w:pPr>
              <w:pStyle w:val="Compact"/>
              <w:jc w:val="left"/>
            </w:pPr>
            <w:r>
              <w:t xml:space="preserve">Forecast month 18</w:t>
            </w:r>
          </w:p>
        </w:tc>
        <w:tc>
          <w:p>
            <w:pPr>
              <w:pStyle w:val="Compact"/>
              <w:jc w:val="left"/>
            </w:pPr>
            <w:r>
              <w:t xml:space="preserve">On plan</w:t>
            </w:r>
          </w:p>
        </w:tc>
        <w:tc>
          <w:p/>
        </w:tc>
      </w:tr>
      <w:tr>
        <w:tc>
          <w:p>
            <w:pPr>
              <w:pStyle w:val="Compact"/>
              <w:jc w:val="left"/>
            </w:pPr>
            <w:r>
              <w:t xml:space="preserve">O4</w:t>
            </w:r>
          </w:p>
        </w:tc>
        <w:tc>
          <w:p>
            <w:pPr>
              <w:pStyle w:val="Compact"/>
              <w:jc w:val="left"/>
            </w:pPr>
            <w:r>
              <w:t xml:space="preserve">30%</w:t>
            </w:r>
          </w:p>
        </w:tc>
        <w:tc>
          <w:p>
            <w:pPr>
              <w:pStyle w:val="Compact"/>
              <w:jc w:val="left"/>
            </w:pPr>
            <w:r>
              <w:t xml:space="preserve">38%</w:t>
            </w:r>
          </w:p>
        </w:tc>
        <w:tc>
          <w:p>
            <w:pPr>
              <w:pStyle w:val="Compact"/>
              <w:jc w:val="left"/>
            </w:pPr>
            <w:r>
              <w:t xml:space="preserve">On plan</w:t>
            </w:r>
          </w:p>
        </w:tc>
        <w:tc>
          <w:p>
            <w:pPr>
              <w:pStyle w:val="Compact"/>
              <w:jc w:val="left"/>
            </w:pPr>
            <w:r>
              <w:t xml:space="preserve">Ahead of the six-month trajectory</w:t>
            </w:r>
          </w:p>
        </w:tc>
      </w:tr>
    </w:tbl>
    <w:tbl>
      <w:tblPr>
        <w:tblStyle w:val="Table"/>
        <w:tblW w:type="pct" w:w="0.0"/>
        <w:tblLook w:firstRow="1"/>
      </w:tblPr>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Assumption</w:t>
            </w:r>
          </w:p>
        </w:tc>
        <w:tc>
          <w:tcPr>
            <w:tcBorders>
              <w:bottom w:val="single"/>
            </w:tcBorders>
            <w:vAlign w:val="bottom"/>
          </w:tcPr>
          <w:p>
            <w:pPr>
              <w:pStyle w:val="Compact"/>
              <w:jc w:val="left"/>
            </w:pPr>
            <w:r>
              <w:t xml:space="preserve">Status</w:t>
            </w:r>
          </w:p>
        </w:tc>
        <w:tc>
          <w:tcPr>
            <w:tcBorders>
              <w:bottom w:val="single"/>
            </w:tcBorders>
            <w:vAlign w:val="bottom"/>
          </w:tcPr>
          <w:p>
            <w:pPr>
              <w:pStyle w:val="Compact"/>
              <w:jc w:val="left"/>
            </w:pPr>
            <w:r>
              <w:t xml:space="preserve">Effect</w:t>
            </w:r>
          </w:p>
        </w:tc>
      </w:tr>
      <w:tr>
        <w:tc>
          <w:p>
            <w:pPr>
              <w:pStyle w:val="Compact"/>
              <w:jc w:val="left"/>
            </w:pPr>
            <w:r>
              <w:t xml:space="preserve">A1</w:t>
            </w:r>
          </w:p>
        </w:tc>
        <w:tc>
          <w:p>
            <w:pPr>
              <w:pStyle w:val="Compact"/>
              <w:jc w:val="left"/>
            </w:pPr>
            <w:r>
              <w:t xml:space="preserve">Staffing</w:t>
            </w:r>
          </w:p>
        </w:tc>
        <w:tc>
          <w:p>
            <w:pPr>
              <w:pStyle w:val="Compact"/>
              <w:jc w:val="left"/>
            </w:pPr>
            <w:r>
              <w:t xml:space="preserve">Holding</w:t>
            </w:r>
          </w:p>
        </w:tc>
        <w:tc>
          <w:p>
            <w:pPr>
              <w:pStyle w:val="Compact"/>
              <w:jc w:val="left"/>
            </w:pPr>
            <w:r>
              <w:t xml:space="preserve">None</w:t>
            </w:r>
          </w:p>
        </w:tc>
      </w:tr>
      <w:tr>
        <w:tc>
          <w:p>
            <w:pPr>
              <w:pStyle w:val="Compact"/>
              <w:jc w:val="left"/>
            </w:pPr>
            <w:r>
              <w:t xml:space="preserve">A2</w:t>
            </w:r>
          </w:p>
        </w:tc>
        <w:tc>
          <w:p>
            <w:pPr>
              <w:pStyle w:val="Compact"/>
              <w:jc w:val="left"/>
            </w:pPr>
            <w:r>
              <w:t xml:space="preserve">Integration</w:t>
            </w:r>
          </w:p>
        </w:tc>
        <w:tc>
          <w:p>
            <w:pPr>
              <w:pStyle w:val="Compact"/>
              <w:jc w:val="left"/>
            </w:pPr>
            <w:r>
              <w:t xml:space="preserve">Holding</w:t>
            </w:r>
          </w:p>
        </w:tc>
        <w:tc>
          <w:p>
            <w:pPr>
              <w:pStyle w:val="Compact"/>
              <w:jc w:val="left"/>
            </w:pPr>
            <w:r>
              <w:t xml:space="preserve">None</w:t>
            </w:r>
          </w:p>
        </w:tc>
      </w:tr>
      <w:tr>
        <w:tc>
          <w:p>
            <w:pPr>
              <w:pStyle w:val="Compact"/>
              <w:jc w:val="left"/>
            </w:pPr>
            <w:r>
              <w:t xml:space="preserve">A3</w:t>
            </w:r>
          </w:p>
        </w:tc>
        <w:tc>
          <w:p>
            <w:pPr>
              <w:pStyle w:val="Compact"/>
              <w:jc w:val="left"/>
            </w:pPr>
            <w:r>
              <w:t xml:space="preserve">Data migration quality</w:t>
            </w:r>
          </w:p>
        </w:tc>
        <w:tc>
          <w:p>
            <w:pPr>
              <w:pStyle w:val="Compact"/>
              <w:jc w:val="left"/>
            </w:pPr>
            <w:r>
              <w:t xml:space="preserve">Partly failed</w:t>
            </w:r>
          </w:p>
        </w:tc>
        <w:tc>
          <w:p>
            <w:pPr>
              <w:pStyle w:val="Compact"/>
              <w:jc w:val="left"/>
            </w:pPr>
            <w:r>
              <w:t xml:space="preserve">Holds O2 back</w:t>
            </w:r>
          </w:p>
        </w:tc>
      </w:tr>
    </w:tbl>
    <w:p>
      <w:pPr>
        <w:pStyle w:val="BodyText"/>
      </w:pPr>
      <w:r>
        <w:rPr>
          <w:b/>
        </w:rPr>
        <w:t xml:space="preserve">Correction recorded.</w:t>
      </w:r>
      <w:r>
        <w:t xml:space="preserve"> </w:t>
      </w:r>
      <w:r>
        <w:t xml:space="preserve">Record cleanup was added before the remaining centers move over. The O2 target and date were left unchanged, and the change was entered in the memo’s change table with the steering committee’s approval.</w:t>
      </w:r>
    </w:p>
    <w:p>
      <w:pPr>
        <w:pStyle w:val="Heading2"/>
      </w:pPr>
      <w:bookmarkStart w:id="30" w:name="audit-record-month-18"/>
      <w:r>
        <w:t xml:space="preserve">Audit Record, month 18</w:t>
      </w:r>
      <w:bookmarkEnd w:id="30"/>
    </w:p>
    <w:tbl>
      <w:tblPr>
        <w:tblStyle w:val="Table"/>
        <w:tblW w:type="pct" w:w="0.0"/>
        <w:tblLook w:firstRow="1"/>
      </w:tblPr>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Committed</w:t>
            </w:r>
          </w:p>
        </w:tc>
        <w:tc>
          <w:tcPr>
            <w:tcBorders>
              <w:bottom w:val="single"/>
            </w:tcBorders>
            <w:vAlign w:val="bottom"/>
          </w:tcPr>
          <w:p>
            <w:pPr>
              <w:pStyle w:val="Compact"/>
              <w:jc w:val="left"/>
            </w:pPr>
            <w:r>
              <w:t xml:space="preserve">Actual</w:t>
            </w:r>
          </w:p>
        </w:tc>
        <w:tc>
          <w:tcPr>
            <w:tcBorders>
              <w:bottom w:val="single"/>
            </w:tcBorders>
            <w:vAlign w:val="bottom"/>
          </w:tcPr>
          <w:p>
            <w:pPr>
              <w:pStyle w:val="Compact"/>
              <w:jc w:val="left"/>
            </w:pPr>
            <w:r>
              <w:t xml:space="preserve">Variance</w:t>
            </w:r>
          </w:p>
        </w:tc>
        <w:tc>
          <w:tcPr>
            <w:tcBorders>
              <w:bottom w:val="single"/>
            </w:tcBorders>
            <w:vAlign w:val="bottom"/>
          </w:tcPr>
          <w:p>
            <w:pPr>
              <w:pStyle w:val="Compact"/>
              <w:jc w:val="left"/>
            </w:pPr>
            <w:r>
              <w:t xml:space="preserve">Verdict</w:t>
            </w:r>
          </w:p>
        </w:tc>
      </w:tr>
      <w:tr>
        <w:tc>
          <w:p>
            <w:pPr>
              <w:pStyle w:val="Compact"/>
              <w:jc w:val="left"/>
            </w:pPr>
            <w:r>
              <w:t xml:space="preserve">O1</w:t>
            </w:r>
          </w:p>
        </w:tc>
        <w:tc>
          <w:p>
            <w:pPr>
              <w:pStyle w:val="Compact"/>
              <w:jc w:val="left"/>
            </w:pPr>
            <w:r>
              <w:t xml:space="preserve">2.8 days by month 9</w:t>
            </w:r>
          </w:p>
        </w:tc>
        <w:tc>
          <w:p>
            <w:pPr>
              <w:pStyle w:val="Compact"/>
              <w:jc w:val="left"/>
            </w:pPr>
            <w:r>
              <w:t xml:space="preserve">2.6 days</w:t>
            </w:r>
          </w:p>
        </w:tc>
        <w:tc>
          <w:p>
            <w:pPr>
              <w:pStyle w:val="Compact"/>
              <w:jc w:val="left"/>
            </w:pPr>
            <w:r>
              <w:t xml:space="preserve">0.2 days better than target</w:t>
            </w:r>
          </w:p>
        </w:tc>
        <w:tc>
          <w:p>
            <w:pPr>
              <w:pStyle w:val="Compact"/>
              <w:jc w:val="left"/>
            </w:pPr>
            <w:r>
              <w:t xml:space="preserve">Met</w:t>
            </w:r>
          </w:p>
        </w:tc>
      </w:tr>
      <w:tr>
        <w:tc>
          <w:p>
            <w:pPr>
              <w:pStyle w:val="Compact"/>
              <w:jc w:val="left"/>
            </w:pPr>
            <w:r>
              <w:t xml:space="preserve">O2</w:t>
            </w:r>
          </w:p>
        </w:tc>
        <w:tc>
          <w:p>
            <w:pPr>
              <w:pStyle w:val="Compact"/>
              <w:jc w:val="left"/>
            </w:pPr>
            <w:r>
              <w:t xml:space="preserve">95% by month 12</w:t>
            </w:r>
          </w:p>
        </w:tc>
        <w:tc>
          <w:p>
            <w:pPr>
              <w:pStyle w:val="Compact"/>
              <w:jc w:val="left"/>
            </w:pPr>
            <w:r>
              <w:t xml:space="preserve">94.2%</w:t>
            </w:r>
          </w:p>
        </w:tc>
        <w:tc>
          <w:p>
            <w:pPr>
              <w:pStyle w:val="Compact"/>
              <w:jc w:val="left"/>
            </w:pPr>
            <w:r>
              <w:t xml:space="preserve">0.8 points short</w:t>
            </w:r>
          </w:p>
        </w:tc>
        <w:tc>
          <w:p>
            <w:pPr>
              <w:pStyle w:val="Compact"/>
              <w:jc w:val="left"/>
            </w:pPr>
            <w:r>
              <w:t xml:space="preserve">Partly met</w:t>
            </w:r>
          </w:p>
        </w:tc>
      </w:tr>
      <w:tr>
        <w:tc>
          <w:p>
            <w:pPr>
              <w:pStyle w:val="Compact"/>
              <w:jc w:val="left"/>
            </w:pPr>
            <w:r>
              <w:t xml:space="preserve">O3</w:t>
            </w:r>
          </w:p>
        </w:tc>
        <w:tc>
          <w:p>
            <w:pPr>
              <w:pStyle w:val="Compact"/>
              <w:jc w:val="left"/>
            </w:pPr>
            <w:r>
              <w:t xml:space="preserve">Breakeven by month 18</w:t>
            </w:r>
          </w:p>
        </w:tc>
        <w:tc>
          <w:p>
            <w:pPr>
              <w:pStyle w:val="Compact"/>
              <w:jc w:val="left"/>
            </w:pPr>
            <w:r>
              <w:t xml:space="preserve">Month 16</w:t>
            </w:r>
          </w:p>
        </w:tc>
        <w:tc>
          <w:p>
            <w:pPr>
              <w:pStyle w:val="Compact"/>
              <w:jc w:val="left"/>
            </w:pPr>
            <w:r>
              <w:t xml:space="preserve">Two months early</w:t>
            </w:r>
          </w:p>
        </w:tc>
        <w:tc>
          <w:p>
            <w:pPr>
              <w:pStyle w:val="Compact"/>
              <w:jc w:val="left"/>
            </w:pPr>
            <w:r>
              <w:t xml:space="preserve">Met</w:t>
            </w:r>
          </w:p>
        </w:tc>
      </w:tr>
      <w:tr>
        <w:tc>
          <w:p>
            <w:pPr>
              <w:pStyle w:val="Compact"/>
              <w:jc w:val="left"/>
            </w:pPr>
            <w:r>
              <w:t xml:space="preserve">O4</w:t>
            </w:r>
          </w:p>
        </w:tc>
        <w:tc>
          <w:p>
            <w:pPr>
              <w:pStyle w:val="Compact"/>
              <w:jc w:val="left"/>
            </w:pPr>
            <w:r>
              <w:t xml:space="preserve">60% by month 6</w:t>
            </w:r>
          </w:p>
        </w:tc>
        <w:tc>
          <w:p>
            <w:pPr>
              <w:pStyle w:val="Compact"/>
              <w:jc w:val="left"/>
            </w:pPr>
            <w:r>
              <w:t xml:space="preserve">67%</w:t>
            </w:r>
          </w:p>
        </w:tc>
        <w:tc>
          <w:p>
            <w:pPr>
              <w:pStyle w:val="Compact"/>
              <w:jc w:val="left"/>
            </w:pPr>
            <w:r>
              <w:t xml:space="preserve">7 points better than target</w:t>
            </w:r>
          </w:p>
        </w:tc>
        <w:tc>
          <w:p>
            <w:pPr>
              <w:pStyle w:val="Compact"/>
              <w:jc w:val="left"/>
            </w:pPr>
            <w:r>
              <w:t xml:space="preserve">Met</w:t>
            </w:r>
          </w:p>
        </w:tc>
      </w:tr>
    </w:tbl>
    <w:p>
      <w:pPr>
        <w:pStyle w:val="BodyText"/>
      </w:pPr>
      <w:r>
        <w:rPr>
          <w:b/>
        </w:rPr>
        <w:t xml:space="preserve">Cause of the O2 variance.</w:t>
      </w:r>
      <w:r>
        <w:t xml:space="preserve"> </w:t>
      </w:r>
      <w:r>
        <w:t xml:space="preserve">One distribution center was added partway through the program with a compressed onboarding timeline. That is a buyer-side condition. It was not in the memo as an assumption, and it first showed up in the readouts as the A3 data quality problem.</w:t>
      </w:r>
    </w:p>
    <w:tbl>
      <w:tblPr>
        <w:tblStyle w:val="Table"/>
        <w:tblW w:type="pct" w:w="5000.0"/>
        <w:tblLook w:firstRow="1"/>
      </w:tblPr>
      <w:tblGrid>
        <w:gridCol w:w="2720"/>
        <w:gridCol w:w="2720"/>
        <w:gridCol w:w="2480"/>
      </w:tblGrid>
      <w:tr>
        <w:trPr>
          <w:cnfStyle w:firstRow="1"/>
        </w:trPr>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Change to apply</w:t>
            </w:r>
          </w:p>
        </w:tc>
        <w:tc>
          <w:tcPr>
            <w:tcBorders>
              <w:bottom w:val="single"/>
            </w:tcBorders>
            <w:vAlign w:val="bottom"/>
          </w:tcPr>
          <w:p>
            <w:pPr>
              <w:pStyle w:val="Compact"/>
              <w:jc w:val="left"/>
            </w:pPr>
            <w:r>
              <w:t xml:space="preserve">Where it goes</w:t>
            </w:r>
          </w:p>
        </w:tc>
      </w:tr>
      <w:tr>
        <w:tc>
          <w:p>
            <w:pPr>
              <w:pStyle w:val="Compact"/>
              <w:jc w:val="left"/>
            </w:pPr>
            <w:r>
              <w:t xml:space="preserve">Data migration quality has to be checked before a center goes live, not after</w:t>
            </w:r>
          </w:p>
        </w:tc>
        <w:tc>
          <w:p>
            <w:pPr>
              <w:pStyle w:val="Compact"/>
              <w:jc w:val="left"/>
            </w:pPr>
            <w:r>
              <w:t xml:space="preserve">A pre-cutover data quality test becomes a standing assumption with its own check date</w:t>
            </w:r>
          </w:p>
        </w:tc>
        <w:tc>
          <w:p>
            <w:pPr>
              <w:pStyle w:val="Compact"/>
              <w:jc w:val="left"/>
            </w:pPr>
            <w:r>
              <w:t xml:space="preserve">Next Decision Memo, section 3</w:t>
            </w:r>
          </w:p>
        </w:tc>
      </w:tr>
      <w:tr>
        <w:tc>
          <w:p>
            <w:pPr>
              <w:pStyle w:val="Compact"/>
              <w:jc w:val="left"/>
            </w:pPr>
            <w:r>
              <w:t xml:space="preserve">A center added mid-program cannot meet the same accuracy date as the others</w:t>
            </w:r>
          </w:p>
        </w:tc>
        <w:tc>
          <w:p>
            <w:pPr>
              <w:pStyle w:val="Compact"/>
              <w:jc w:val="left"/>
            </w:pPr>
            <w:r>
              <w:t xml:space="preserve">A center added after commitment gets its own target and date, recorded as a change</w:t>
            </w:r>
          </w:p>
        </w:tc>
        <w:tc>
          <w:p>
            <w:pPr>
              <w:pStyle w:val="Compact"/>
              <w:jc w:val="left"/>
            </w:pPr>
            <w:r>
              <w:t xml:space="preserve">Next Decision Memo, sections 2 and 8</w:t>
            </w:r>
          </w:p>
        </w:tc>
      </w:tr>
    </w:tbl>
    <w:p>
      <w:pPr>
        <w:pStyle w:val="BodyText"/>
      </w:pPr>
      <w:r>
        <w:t xml:space="preserve">These lessons go into Meridian’s next major technology decision.</w:t>
      </w:r>
    </w:p>
    <w:p>
      <w:pPr>
        <w:pStyle w:val="Heading2"/>
      </w:pPr>
      <w:bookmarkStart w:id="31" w:name="what-the-example-shows"/>
      <w:r>
        <w:t xml:space="preserve">What the example shows</w:t>
      </w:r>
      <w:bookmarkEnd w:id="31"/>
    </w:p>
    <w:p>
      <w:pPr>
        <w:pStyle w:val="FirstParagraph"/>
      </w:pPr>
      <w:r>
        <w:t xml:space="preserve">The memo set four outcomes with baselines and dates. The month-three readout caught the data problem early and recorded the fix without moving the target. The audit then separated a shortfall caused on the buyer’s side from the vendor’s delivery, so the vendor’s record shows its own conditions met.</w:t>
      </w:r>
    </w:p>
    <w:p>
      <w:r>
        <w:pict>
          <v:rect style="width:0;height:1.5pt" o:hralign="center" o:hrstd="t" o:hr="t"/>
        </w:pict>
      </w:r>
    </w:p>
    <w:p>
      <w:pPr>
        <w:pStyle w:val="FirstParagraph"/>
      </w:pPr>
      <w:r>
        <w:rPr>
          <w:i/>
        </w:rPr>
        <w:t xml:space="preserve">From The Value Standard by Michael Brey. valuelattice.com/guides/. Licensed CC BY 4.0.</w:t>
      </w:r>
    </w:p>
    <w:p>
      <w:r>
        <w:br w:type="page"/>
      </w:r>
    </w:p>
    <w:p>
      <w:pPr>
        <w:pStyle w:val="Heading1"/>
      </w:pPr>
      <w:bookmarkStart w:id="32" w:name="decision-memo"/>
      <w:r>
        <w:t xml:space="preserve">Decision Memo</w:t>
      </w:r>
      <w:bookmarkEnd w:id="32"/>
    </w:p>
    <w:p>
      <w:pPr>
        <w:pStyle w:val="Heading3"/>
      </w:pPr>
      <w:bookmarkStart w:id="33" w:name="X2704bc2808b9f970af01e78ce224aa608253018"/>
      <w:r>
        <w:t>The record of what was decided · Template · October 2026</w:t>
      </w:r>
      <w:bookmarkEnd w:id="33"/>
    </w:p>
    <w:p>
      <w:pPr>
        <w:pStyle w:val="FirstParagraph"/>
      </w:pPr>
      <w:r>
        <w:rPr>
          <w:b/>
        </w:rPr>
        <w:t xml:space="preserve">Part of the Decision Artifact Set. Free to use, copy, adapt and issue.</w:t>
      </w:r>
      <w:r>
        <w:t xml:space="preserve"> </w:t>
      </w:r>
      <w:r>
        <w:t xml:space="preserve">Published by Value Lattice · valuelattice.com/guides/ · Licensed CC BY 4.0</w:t>
      </w:r>
    </w:p>
    <w:p>
      <w:r>
        <w:pict>
          <v:rect style="width:0;height:1.5pt" o:hralign="center" o:hrstd="t" o:hr="t"/>
        </w:pict>
      </w:r>
    </w:p>
    <w:p>
      <w:pPr>
        <w:pStyle w:val="FirstParagraph"/>
      </w:pPr>
      <w:r>
        <w:t xml:space="preserve">Write this when the decision is made and before the contract is signed. It records what the organization committed to, in terms specific enough to check later. Every readout and the final audit work from this page, so the numbers here are the ones that count.</w:t>
      </w:r>
    </w:p>
    <w:p>
      <w:pPr>
        <w:pStyle w:val="Heading2"/>
      </w:pPr>
      <w:bookmarkStart w:id="34" w:name="header"/>
      <w:r>
        <w:t xml:space="preserve">Header</w:t>
      </w:r>
      <w:bookmarkEnd w:id="34"/>
    </w:p>
    <w:tbl>
      <w:tblPr>
        <w:tblStyle w:val="Table"/>
        <w:tblW w:type="pct" w:w="0.0"/>
        <w:tblLook w:firstRow="1"/>
      </w:tblPr>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Entry</w:t>
            </w:r>
          </w:p>
        </w:tc>
      </w:tr>
      <w:tr>
        <w:tc>
          <w:p>
            <w:pPr>
              <w:pStyle w:val="Compact"/>
              <w:jc w:val="left"/>
            </w:pPr>
            <w:r>
              <w:t xml:space="preserve">Decision</w:t>
            </w:r>
          </w:p>
        </w:tc>
        <w:tc>
          <w:p/>
        </w:tc>
      </w:tr>
      <w:tr>
        <w:tc>
          <w:p>
            <w:pPr>
              <w:pStyle w:val="Compact"/>
              <w:jc w:val="left"/>
            </w:pPr>
            <w:r>
              <w:t xml:space="preserve">Date decided</w:t>
            </w:r>
          </w:p>
        </w:tc>
        <w:tc>
          <w:p/>
        </w:tc>
      </w:tr>
      <w:tr>
        <w:tc>
          <w:p>
            <w:pPr>
              <w:pStyle w:val="Compact"/>
              <w:jc w:val="left"/>
            </w:pPr>
            <w:r>
              <w:t xml:space="preserve">Decision authority (the body or role that approved it)</w:t>
            </w:r>
          </w:p>
        </w:tc>
        <w:tc>
          <w:p/>
        </w:tc>
      </w:tr>
      <w:tr>
        <w:tc>
          <w:p>
            <w:pPr>
              <w:pStyle w:val="Compact"/>
              <w:jc w:val="left"/>
            </w:pPr>
            <w:r>
              <w:t xml:space="preserve">Business owner (role)</w:t>
            </w:r>
          </w:p>
        </w:tc>
        <w:tc>
          <w:p/>
        </w:tc>
      </w:tr>
      <w:tr>
        <w:tc>
          <w:p>
            <w:pPr>
              <w:pStyle w:val="Compact"/>
              <w:jc w:val="left"/>
            </w:pPr>
            <w:r>
              <w:t xml:space="preserve">Finance partner (role)</w:t>
            </w:r>
          </w:p>
        </w:tc>
        <w:tc>
          <w:p/>
        </w:tc>
      </w:tr>
      <w:tr>
        <w:tc>
          <w:p>
            <w:pPr>
              <w:pStyle w:val="Compact"/>
              <w:jc w:val="left"/>
            </w:pPr>
            <w:r>
              <w:t xml:space="preserve">Vendor or vendors</w:t>
            </w:r>
          </w:p>
        </w:tc>
        <w:tc>
          <w:p/>
        </w:tc>
      </w:tr>
      <w:tr>
        <w:tc>
          <w:p>
            <w:pPr>
              <w:pStyle w:val="Compact"/>
              <w:jc w:val="left"/>
            </w:pPr>
            <w:r>
              <w:t xml:space="preserve">Contract reference</w:t>
            </w:r>
          </w:p>
        </w:tc>
        <w:tc>
          <w:p/>
        </w:tc>
      </w:tr>
      <w:tr>
        <w:tc>
          <w:p>
            <w:pPr>
              <w:pStyle w:val="Compact"/>
              <w:jc w:val="left"/>
            </w:pPr>
            <w:r>
              <w:t xml:space="preserve">Request for Value reference, if one was issued</w:t>
            </w:r>
          </w:p>
        </w:tc>
        <w:tc>
          <w:p/>
        </w:tc>
      </w:tr>
      <w:tr>
        <w:tc>
          <w:p>
            <w:pPr>
              <w:pStyle w:val="Compact"/>
              <w:jc w:val="left"/>
            </w:pPr>
            <w:r>
              <w:t xml:space="preserve">Memo version and date</w:t>
            </w:r>
          </w:p>
        </w:tc>
        <w:tc>
          <w:p/>
        </w:tc>
      </w:tr>
    </w:tbl>
    <w:p>
      <w:pPr>
        <w:pStyle w:val="Heading2"/>
      </w:pPr>
      <w:bookmarkStart w:id="35" w:name="what-was-decided"/>
      <w:r>
        <w:t xml:space="preserve">1. What was decided</w:t>
      </w:r>
      <w:bookmarkEnd w:id="35"/>
    </w:p>
    <w:p>
      <w:pPr>
        <w:pStyle w:val="FirstParagraph"/>
      </w:pPr>
      <w:r>
        <w:t xml:space="preserve">Two or three sentences: what is being bought, from whom, to produce what, at what committed cost, over what period.</w:t>
      </w:r>
    </w:p>
    <w:p>
      <w:pPr>
        <w:pStyle w:val="Heading2"/>
      </w:pPr>
      <w:bookmarkStart w:id="36" w:name="committed-outcomes"/>
      <w:r>
        <w:t xml:space="preserve">2. Committed outcomes</w:t>
      </w:r>
      <w:bookmarkEnd w:id="36"/>
    </w:p>
    <w:p>
      <w:pPr>
        <w:pStyle w:val="FirstParagraph"/>
      </w:pPr>
      <w:r>
        <w:t xml:space="preserve">One row per outcome. Use the outcome IDs (O1, O2 and so on) in every readout and in the audit. If you issued a Request for Value, the outcomes and metrics come from it unchanged.</w:t>
      </w:r>
    </w:p>
    <w:tbl>
      <w:tblPr>
        <w:tblStyle w:val="Table"/>
        <w:tblW w:type="pct" w:w="5000.0"/>
        <w:tblLook w:firstRow="1"/>
      </w:tblPr>
      <w:tblGrid>
        <w:gridCol w:w="235"/>
        <w:gridCol w:w="2195"/>
        <w:gridCol w:w="1254"/>
        <w:gridCol w:w="1725"/>
        <w:gridCol w:w="1254"/>
        <w:gridCol w:w="1254"/>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Outcome, in the business owner’s words</w:t>
            </w:r>
          </w:p>
        </w:tc>
        <w:tc>
          <w:tcPr>
            <w:tcBorders>
              <w:bottom w:val="single"/>
            </w:tcBorders>
            <w:vAlign w:val="bottom"/>
          </w:tcPr>
          <w:p>
            <w:pPr>
              <w:pStyle w:val="Compact"/>
              <w:jc w:val="left"/>
            </w:pPr>
            <w:r>
              <w:t xml:space="preserve">Metric</w:t>
            </w:r>
          </w:p>
        </w:tc>
        <w:tc>
          <w:tcPr>
            <w:tcBorders>
              <w:bottom w:val="single"/>
            </w:tcBorders>
            <w:vAlign w:val="bottom"/>
          </w:tcPr>
          <w:p>
            <w:pPr>
              <w:pStyle w:val="Compact"/>
              <w:jc w:val="left"/>
            </w:pPr>
            <w:r>
              <w:t xml:space="preserve">Baseline (value, date, source)</w:t>
            </w:r>
          </w:p>
        </w:tc>
        <w:tc>
          <w:tcPr>
            <w:tcBorders>
              <w:bottom w:val="single"/>
            </w:tcBorders>
            <w:vAlign w:val="bottom"/>
          </w:tcPr>
          <w:p>
            <w:pPr>
              <w:pStyle w:val="Compact"/>
              <w:jc w:val="left"/>
            </w:pPr>
            <w:r>
              <w:t xml:space="preserve">Target</w:t>
            </w:r>
          </w:p>
        </w:tc>
        <w:tc>
          <w:tcPr>
            <w:tcBorders>
              <w:bottom w:val="single"/>
            </w:tcBorders>
            <w:vAlign w:val="bottom"/>
          </w:tcPr>
          <w:p>
            <w:pPr>
              <w:pStyle w:val="Compact"/>
              <w:jc w:val="left"/>
            </w:pPr>
            <w:r>
              <w:t xml:space="preserve">Target date</w:t>
            </w:r>
          </w:p>
        </w:tc>
      </w:tr>
      <w:tr>
        <w:tc>
          <w:p>
            <w:pPr>
              <w:pStyle w:val="Compact"/>
              <w:jc w:val="left"/>
            </w:pPr>
            <w:r>
              <w:t xml:space="preserve">O1</w:t>
            </w:r>
          </w:p>
        </w:tc>
        <w:tc>
          <w:p/>
        </w:tc>
        <w:tc>
          <w:p/>
        </w:tc>
        <w:tc>
          <w:p/>
        </w:tc>
        <w:tc>
          <w:p/>
        </w:tc>
        <w:tc>
          <w:p/>
        </w:tc>
      </w:tr>
      <w:tr>
        <w:tc>
          <w:p>
            <w:pPr>
              <w:pStyle w:val="Compact"/>
              <w:jc w:val="left"/>
            </w:pPr>
            <w:r>
              <w:t xml:space="preserve">O2</w:t>
            </w:r>
          </w:p>
        </w:tc>
        <w:tc>
          <w:p/>
        </w:tc>
        <w:tc>
          <w:p/>
        </w:tc>
        <w:tc>
          <w:p/>
        </w:tc>
        <w:tc>
          <w:p/>
        </w:tc>
        <w:tc>
          <w:p/>
        </w:tc>
      </w:tr>
      <w:tr>
        <w:tc>
          <w:p>
            <w:pPr>
              <w:pStyle w:val="Compact"/>
              <w:jc w:val="left"/>
            </w:pPr>
            <w:r>
              <w:t xml:space="preserve">O3</w:t>
            </w:r>
          </w:p>
        </w:tc>
        <w:tc>
          <w:p/>
        </w:tc>
        <w:tc>
          <w:p/>
        </w:tc>
        <w:tc>
          <w:p/>
        </w:tc>
        <w:tc>
          <w:p/>
        </w:tc>
        <w:tc>
          <w:p/>
        </w:tc>
      </w:tr>
      <w:tr>
        <w:tc>
          <w:p>
            <w:pPr>
              <w:pStyle w:val="Compact"/>
              <w:jc w:val="left"/>
            </w:pPr>
            <w:r>
              <w:t xml:space="preserve">O4</w:t>
            </w:r>
          </w:p>
        </w:tc>
        <w:tc>
          <w:p/>
        </w:tc>
        <w:tc>
          <w:p/>
        </w:tc>
        <w:tc>
          <w:p/>
        </w:tc>
        <w:tc>
          <w:p/>
        </w:tc>
        <w:tc>
          <w:p/>
        </w:tc>
      </w:tr>
    </w:tbl>
    <w:p>
      <w:pPr>
        <w:pStyle w:val="BodyText"/>
      </w:pPr>
      <w:r>
        <w:t xml:space="preserve">How each outcome is measured and governed:</w:t>
      </w:r>
    </w:p>
    <w:tbl>
      <w:tblPr>
        <w:tblStyle w:val="Table"/>
        <w:tblW w:type="pct" w:w="5000.0"/>
        <w:tblLook w:firstRow="1"/>
      </w:tblPr>
      <w:tblGrid>
        <w:gridCol w:w="320"/>
        <w:gridCol w:w="1520"/>
        <w:gridCol w:w="1520"/>
        <w:gridCol w:w="1520"/>
        <w:gridCol w:w="1520"/>
        <w:gridCol w:w="1520"/>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How it is measured</w:t>
            </w:r>
          </w:p>
        </w:tc>
        <w:tc>
          <w:tcPr>
            <w:tcBorders>
              <w:bottom w:val="single"/>
            </w:tcBorders>
            <w:vAlign w:val="bottom"/>
          </w:tcPr>
          <w:p>
            <w:pPr>
              <w:pStyle w:val="Compact"/>
              <w:jc w:val="left"/>
            </w:pPr>
            <w:r>
              <w:t xml:space="preserve">Data source</w:t>
            </w:r>
          </w:p>
        </w:tc>
        <w:tc>
          <w:tcPr>
            <w:tcBorders>
              <w:bottom w:val="single"/>
            </w:tcBorders>
            <w:vAlign w:val="bottom"/>
          </w:tcPr>
          <w:p>
            <w:pPr>
              <w:pStyle w:val="Compact"/>
              <w:jc w:val="left"/>
            </w:pPr>
            <w:r>
              <w:t xml:space="preserve">Owning role</w:t>
            </w:r>
          </w:p>
        </w:tc>
        <w:tc>
          <w:tcPr>
            <w:tcBorders>
              <w:bottom w:val="single"/>
            </w:tcBorders>
            <w:vAlign w:val="bottom"/>
          </w:tcPr>
          <w:p>
            <w:pPr>
              <w:pStyle w:val="Compact"/>
              <w:jc w:val="left"/>
            </w:pPr>
            <w:r>
              <w:t xml:space="preserve">Reporting cadence</w:t>
            </w:r>
          </w:p>
        </w:tc>
        <w:tc>
          <w:tcPr>
            <w:tcBorders>
              <w:bottom w:val="single"/>
            </w:tcBorders>
            <w:vAlign w:val="bottom"/>
          </w:tcPr>
          <w:p>
            <w:pPr>
              <w:pStyle w:val="Compact"/>
              <w:jc w:val="left"/>
            </w:pPr>
            <w:r>
              <w:t xml:space="preserve">Escalation threshold</w:t>
            </w:r>
          </w:p>
        </w:tc>
      </w:tr>
      <w:tr>
        <w:tc>
          <w:p>
            <w:pPr>
              <w:pStyle w:val="Compact"/>
              <w:jc w:val="left"/>
            </w:pPr>
            <w:r>
              <w:t xml:space="preserve">O1</w:t>
            </w:r>
          </w:p>
        </w:tc>
        <w:tc>
          <w:p/>
        </w:tc>
        <w:tc>
          <w:p/>
        </w:tc>
        <w:tc>
          <w:p/>
        </w:tc>
        <w:tc>
          <w:p/>
        </w:tc>
        <w:tc>
          <w:p/>
        </w:tc>
      </w:tr>
      <w:tr>
        <w:tc>
          <w:p>
            <w:pPr>
              <w:pStyle w:val="Compact"/>
              <w:jc w:val="left"/>
            </w:pPr>
            <w:r>
              <w:t xml:space="preserve">O2</w:t>
            </w:r>
          </w:p>
        </w:tc>
        <w:tc>
          <w:p/>
        </w:tc>
        <w:tc>
          <w:p/>
        </w:tc>
        <w:tc>
          <w:p/>
        </w:tc>
        <w:tc>
          <w:p/>
        </w:tc>
        <w:tc>
          <w:p/>
        </w:tc>
      </w:tr>
      <w:tr>
        <w:tc>
          <w:p>
            <w:pPr>
              <w:pStyle w:val="Compact"/>
              <w:jc w:val="left"/>
            </w:pPr>
            <w:r>
              <w:t xml:space="preserve">O3</w:t>
            </w:r>
          </w:p>
        </w:tc>
        <w:tc>
          <w:p/>
        </w:tc>
        <w:tc>
          <w:p/>
        </w:tc>
        <w:tc>
          <w:p/>
        </w:tc>
        <w:tc>
          <w:p/>
        </w:tc>
        <w:tc>
          <w:p/>
        </w:tc>
      </w:tr>
      <w:tr>
        <w:tc>
          <w:p>
            <w:pPr>
              <w:pStyle w:val="Compact"/>
              <w:jc w:val="left"/>
            </w:pPr>
            <w:r>
              <w:t xml:space="preserve">O4</w:t>
            </w:r>
          </w:p>
        </w:tc>
        <w:tc>
          <w:p/>
        </w:tc>
        <w:tc>
          <w:p/>
        </w:tc>
        <w:tc>
          <w:p/>
        </w:tc>
        <w:tc>
          <w:p/>
        </w:tc>
        <w:tc>
          <w:p/>
        </w:tc>
      </w:tr>
    </w:tbl>
    <w:p>
      <w:pPr>
        <w:pStyle w:val="BodyText"/>
      </w:pPr>
      <w:r>
        <w:rPr>
          <w:b/>
        </w:rPr>
        <w:t xml:space="preserve">Notes for these tables.</w:t>
      </w:r>
      <w:r>
        <w:t xml:space="preserve"> </w:t>
      </w:r>
      <w:r>
        <w:t xml:space="preserve">The baseline comes from your own records. If there is no baseline yet, write</w:t>
      </w:r>
      <w:r>
        <w:t xml:space="preserve"> </w:t>
      </w:r>
      <w:r>
        <w:t xml:space="preserve">“</w:t>
      </w:r>
      <w:r>
        <w:t xml:space="preserve">to be established</w:t>
      </w:r>
      <w:r>
        <w:t xml:space="preserve">”</w:t>
      </w:r>
      <w:r>
        <w:t xml:space="preserve"> </w:t>
      </w:r>
      <w:r>
        <w:t xml:space="preserve">and name the readout that will establish it. The escalation threshold says how far behind plan an outcome can fall before the decision authority must act, for example</w:t>
      </w:r>
      <w:r>
        <w:t xml:space="preserve"> </w:t>
      </w:r>
      <w:r>
        <w:t xml:space="preserve">“</w:t>
      </w:r>
      <w:r>
        <w:t xml:space="preserve">more than 20 percent behind planned progress at any readout.</w:t>
      </w:r>
      <w:r>
        <w:t xml:space="preserve">”</w:t>
      </w:r>
    </w:p>
    <w:p>
      <w:pPr>
        <w:pStyle w:val="Heading2"/>
      </w:pPr>
      <w:bookmarkStart w:id="37" w:name="assumptions"/>
      <w:r>
        <w:t xml:space="preserve">3. Assumptions</w:t>
      </w:r>
      <w:bookmarkEnd w:id="37"/>
    </w:p>
    <w:p>
      <w:pPr>
        <w:pStyle w:val="FirstParagraph"/>
      </w:pPr>
      <w:r>
        <w:t xml:space="preserve">The things that must stay true for the outcomes to be reachable. Each one gets a test and a date.</w:t>
      </w:r>
    </w:p>
    <w:tbl>
      <w:tblPr>
        <w:tblStyle w:val="Table"/>
        <w:tblW w:type="pct" w:w="5000.0"/>
        <w:tblLook w:firstRow="1"/>
      </w:tblPr>
      <w:tblGrid>
        <w:gridCol w:w="237"/>
        <w:gridCol w:w="1108"/>
        <w:gridCol w:w="1267"/>
        <w:gridCol w:w="1980"/>
        <w:gridCol w:w="1108"/>
        <w:gridCol w:w="1108"/>
        <w:gridCol w:w="1108"/>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Assumption</w:t>
            </w:r>
          </w:p>
        </w:tc>
        <w:tc>
          <w:tcPr>
            <w:tcBorders>
              <w:bottom w:val="single"/>
            </w:tcBorders>
            <w:vAlign w:val="bottom"/>
          </w:tcPr>
          <w:p>
            <w:pPr>
              <w:pStyle w:val="Compact"/>
              <w:jc w:val="left"/>
            </w:pPr>
            <w:r>
              <w:t xml:space="preserve">Outcomes that depend on it</w:t>
            </w:r>
          </w:p>
        </w:tc>
        <w:tc>
          <w:tcPr>
            <w:tcBorders>
              <w:bottom w:val="single"/>
            </w:tcBorders>
            <w:vAlign w:val="bottom"/>
          </w:tcPr>
          <w:p>
            <w:pPr>
              <w:pStyle w:val="Compact"/>
              <w:jc w:val="left"/>
            </w:pPr>
            <w:r>
              <w:t xml:space="preserve">Depends on (buyer, vendor, both, external)</w:t>
            </w:r>
          </w:p>
        </w:tc>
        <w:tc>
          <w:tcPr>
            <w:tcBorders>
              <w:bottom w:val="single"/>
            </w:tcBorders>
            <w:vAlign w:val="bottom"/>
          </w:tcPr>
          <w:p>
            <w:pPr>
              <w:pStyle w:val="Compact"/>
              <w:jc w:val="left"/>
            </w:pPr>
            <w:r>
              <w:t xml:space="preserve">How it will be tested</w:t>
            </w:r>
          </w:p>
        </w:tc>
        <w:tc>
          <w:tcPr>
            <w:tcBorders>
              <w:bottom w:val="single"/>
            </w:tcBorders>
            <w:vAlign w:val="bottom"/>
          </w:tcPr>
          <w:p>
            <w:pPr>
              <w:pStyle w:val="Compact"/>
              <w:jc w:val="left"/>
            </w:pPr>
            <w:r>
              <w:t xml:space="preserve">Check date</w:t>
            </w:r>
          </w:p>
        </w:tc>
        <w:tc>
          <w:tcPr>
            <w:tcBorders>
              <w:bottom w:val="single"/>
            </w:tcBorders>
            <w:vAlign w:val="bottom"/>
          </w:tcPr>
          <w:p>
            <w:pPr>
              <w:pStyle w:val="Compact"/>
              <w:jc w:val="left"/>
            </w:pPr>
            <w:r>
              <w:t xml:space="preserve">If it fails</w:t>
            </w:r>
          </w:p>
        </w:tc>
      </w:tr>
      <w:tr>
        <w:tc>
          <w:p>
            <w:pPr>
              <w:pStyle w:val="Compact"/>
              <w:jc w:val="left"/>
            </w:pPr>
            <w:r>
              <w:t xml:space="preserve">A1</w:t>
            </w:r>
          </w:p>
        </w:tc>
        <w:tc>
          <w:p/>
        </w:tc>
        <w:tc>
          <w:p/>
        </w:tc>
        <w:tc>
          <w:p/>
        </w:tc>
        <w:tc>
          <w:p/>
        </w:tc>
        <w:tc>
          <w:p/>
        </w:tc>
        <w:tc>
          <w:p/>
        </w:tc>
      </w:tr>
      <w:tr>
        <w:tc>
          <w:p>
            <w:pPr>
              <w:pStyle w:val="Compact"/>
              <w:jc w:val="left"/>
            </w:pPr>
            <w:r>
              <w:t xml:space="preserve">A2</w:t>
            </w:r>
          </w:p>
        </w:tc>
        <w:tc>
          <w:p/>
        </w:tc>
        <w:tc>
          <w:p/>
        </w:tc>
        <w:tc>
          <w:p/>
        </w:tc>
        <w:tc>
          <w:p/>
        </w:tc>
        <w:tc>
          <w:p/>
        </w:tc>
        <w:tc>
          <w:p/>
        </w:tc>
      </w:tr>
      <w:tr>
        <w:tc>
          <w:p>
            <w:pPr>
              <w:pStyle w:val="Compact"/>
              <w:jc w:val="left"/>
            </w:pPr>
            <w:r>
              <w:t xml:space="preserve">A3</w:t>
            </w:r>
          </w:p>
        </w:tc>
        <w:tc>
          <w:p/>
        </w:tc>
        <w:tc>
          <w:p/>
        </w:tc>
        <w:tc>
          <w:p/>
        </w:tc>
        <w:tc>
          <w:p/>
        </w:tc>
        <w:tc>
          <w:p/>
        </w:tc>
        <w:tc>
          <w:p/>
        </w:tc>
      </w:tr>
    </w:tbl>
    <w:p>
      <w:pPr>
        <w:pStyle w:val="Heading2"/>
      </w:pPr>
      <w:bookmarkStart w:id="38" w:name="conditions-on-each-side"/>
      <w:r>
        <w:t xml:space="preserve">4. Conditions on each side</w:t>
      </w:r>
      <w:bookmarkEnd w:id="38"/>
    </w:p>
    <w:p>
      <w:pPr>
        <w:pStyle w:val="FirstParagraph"/>
      </w:pPr>
      <w:r>
        <w:t xml:space="preserve">What each party must have in place. A shortfall later is judged against these.</w:t>
      </w:r>
    </w:p>
    <w:tbl>
      <w:tblPr>
        <w:tblStyle w:val="Table"/>
        <w:tblW w:type="pct" w:w="0.0"/>
        <w:tblLook w:firstRow="1"/>
      </w:tblPr>
      <w:tblGrid/>
      <w:tr>
        <w:trPr>
          <w:cnfStyle w:firstRow="1"/>
        </w:trPr>
        <w:tc>
          <w:tcPr>
            <w:tcBorders>
              <w:bottom w:val="single"/>
            </w:tcBorders>
            <w:vAlign w:val="bottom"/>
          </w:tcPr>
          <w:p>
            <w:pPr>
              <w:pStyle w:val="Compact"/>
              <w:jc w:val="left"/>
            </w:pPr>
            <w:r>
              <w:t xml:space="preserve">Buyer-side conditions</w:t>
            </w:r>
          </w:p>
        </w:tc>
        <w:tc>
          <w:tcPr>
            <w:tcBorders>
              <w:bottom w:val="single"/>
            </w:tcBorders>
            <w:vAlign w:val="bottom"/>
          </w:tcPr>
          <w:p>
            <w:pPr>
              <w:pStyle w:val="Compact"/>
              <w:jc w:val="left"/>
            </w:pPr>
            <w:r>
              <w:t xml:space="preserve">Vendor-side conditions</w:t>
            </w:r>
          </w:p>
        </w:tc>
      </w:tr>
      <w:tr>
        <w:tc>
          <w:p/>
        </w:tc>
        <w:tc>
          <w:p/>
        </w:tc>
      </w:tr>
      <w:tr>
        <w:tc>
          <w:p/>
        </w:tc>
        <w:tc>
          <w:p/>
        </w:tc>
      </w:tr>
      <w:tr>
        <w:tc>
          <w:p/>
        </w:tc>
        <w:tc>
          <w:p/>
        </w:tc>
      </w:tr>
    </w:tbl>
    <w:p>
      <w:pPr>
        <w:pStyle w:val="Heading2"/>
      </w:pPr>
      <w:bookmarkStart w:id="39" w:name="committed-cost"/>
      <w:r>
        <w:t xml:space="preserve">5. Committed cost</w:t>
      </w:r>
      <w:bookmarkEnd w:id="39"/>
    </w:p>
    <w:tbl>
      <w:tblPr>
        <w:tblStyle w:val="Table"/>
        <w:tblW w:type="pct" w:w="0.0"/>
        <w:tblLook w:firstRow="1"/>
      </w:tblPr>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Amount</w:t>
            </w:r>
          </w:p>
        </w:tc>
        <w:tc>
          <w:tcPr>
            <w:tcBorders>
              <w:bottom w:val="single"/>
            </w:tcBorders>
            <w:vAlign w:val="bottom"/>
          </w:tcPr>
          <w:p>
            <w:pPr>
              <w:pStyle w:val="Compact"/>
              <w:jc w:val="left"/>
            </w:pPr>
            <w:r>
              <w:t xml:space="preserve">Period</w:t>
            </w:r>
          </w:p>
        </w:tc>
      </w:tr>
      <w:tr>
        <w:tc>
          <w:p>
            <w:pPr>
              <w:pStyle w:val="Compact"/>
              <w:jc w:val="left"/>
            </w:pPr>
            <w:r>
              <w:t xml:space="preserve">One-time cost</w:t>
            </w:r>
          </w:p>
        </w:tc>
        <w:tc>
          <w:p/>
        </w:tc>
        <w:tc>
          <w:p/>
        </w:tc>
      </w:tr>
      <w:tr>
        <w:tc>
          <w:p>
            <w:pPr>
              <w:pStyle w:val="Compact"/>
              <w:jc w:val="left"/>
            </w:pPr>
            <w:r>
              <w:t xml:space="preserve">Recurring cost</w:t>
            </w:r>
          </w:p>
        </w:tc>
        <w:tc>
          <w:p/>
        </w:tc>
        <w:tc>
          <w:p/>
        </w:tc>
      </w:tr>
      <w:tr>
        <w:tc>
          <w:p>
            <w:pPr>
              <w:pStyle w:val="Compact"/>
              <w:jc w:val="left"/>
            </w:pPr>
            <w:r>
              <w:t xml:space="preserve">Internal effort (people, time)</w:t>
            </w:r>
          </w:p>
        </w:tc>
        <w:tc>
          <w:p/>
        </w:tc>
        <w:tc>
          <w:p/>
        </w:tc>
      </w:tr>
      <w:tr>
        <w:tc>
          <w:p>
            <w:pPr>
              <w:pStyle w:val="Compact"/>
              <w:jc w:val="left"/>
            </w:pPr>
            <w:r>
              <w:t xml:space="preserve">Total committed</w:t>
            </w:r>
          </w:p>
        </w:tc>
        <w:tc>
          <w:p/>
        </w:tc>
        <w:tc>
          <w:p/>
        </w:tc>
      </w:tr>
    </w:tbl>
    <w:p>
      <w:pPr>
        <w:pStyle w:val="Heading2"/>
      </w:pPr>
      <w:bookmarkStart w:id="40" w:name="governance-cadence"/>
      <w:r>
        <w:t xml:space="preserve">6. Governance cadence</w:t>
      </w:r>
      <w:bookmarkEnd w:id="40"/>
    </w:p>
    <w:tbl>
      <w:tblPr>
        <w:tblStyle w:val="Table"/>
        <w:tblW w:type="pct" w:w="0.0"/>
        <w:tblLook w:firstRow="1"/>
      </w:tblPr>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Entry</w:t>
            </w:r>
          </w:p>
        </w:tc>
      </w:tr>
      <w:tr>
        <w:tc>
          <w:p>
            <w:pPr>
              <w:pStyle w:val="Compact"/>
              <w:jc w:val="left"/>
            </w:pPr>
            <w:r>
              <w:t xml:space="preserve">Readout frequency</w:t>
            </w:r>
          </w:p>
        </w:tc>
        <w:tc>
          <w:p/>
        </w:tc>
      </w:tr>
      <w:tr>
        <w:tc>
          <w:p>
            <w:pPr>
              <w:pStyle w:val="Compact"/>
              <w:jc w:val="left"/>
            </w:pPr>
            <w:r>
              <w:t xml:space="preserve">Readout goes to (decision authority)</w:t>
            </w:r>
          </w:p>
        </w:tc>
        <w:tc>
          <w:p/>
        </w:tc>
      </w:tr>
      <w:tr>
        <w:tc>
          <w:p>
            <w:pPr>
              <w:pStyle w:val="Compact"/>
              <w:jc w:val="left"/>
            </w:pPr>
            <w:r>
              <w:t xml:space="preserve">Escalation route</w:t>
            </w:r>
          </w:p>
        </w:tc>
        <w:tc>
          <w:p/>
        </w:tc>
      </w:tr>
      <w:tr>
        <w:tc>
          <w:p>
            <w:pPr>
              <w:pStyle w:val="Compact"/>
              <w:jc w:val="left"/>
            </w:pPr>
            <w:r>
              <w:t xml:space="preserve">First readout date</w:t>
            </w:r>
          </w:p>
        </w:tc>
        <w:tc>
          <w:p/>
        </w:tc>
      </w:tr>
      <w:tr>
        <w:tc>
          <w:p>
            <w:pPr>
              <w:pStyle w:val="Compact"/>
              <w:jc w:val="left"/>
            </w:pPr>
            <w:r>
              <w:t xml:space="preserve">Audit Record due date</w:t>
            </w:r>
          </w:p>
        </w:tc>
        <w:tc>
          <w:p/>
        </w:tc>
      </w:tr>
      <w:tr>
        <w:tc>
          <w:p>
            <w:pPr>
              <w:pStyle w:val="Compact"/>
              <w:jc w:val="left"/>
            </w:pPr>
            <w:r>
              <w:t xml:space="preserve">Where this memo is filed</w:t>
            </w:r>
          </w:p>
        </w:tc>
        <w:tc>
          <w:p/>
        </w:tc>
      </w:tr>
    </w:tbl>
    <w:p>
      <w:pPr>
        <w:pStyle w:val="Heading2"/>
      </w:pPr>
      <w:bookmarkStart w:id="41" w:name="alternatives-considered"/>
      <w:r>
        <w:t xml:space="preserve">7. Alternatives considered</w:t>
      </w:r>
      <w:bookmarkEnd w:id="41"/>
    </w:p>
    <w:tbl>
      <w:tblPr>
        <w:tblStyle w:val="Table"/>
        <w:tblW w:type="pct" w:w="0.0"/>
        <w:tblLook w:firstRow="1"/>
      </w:tblPr>
      <w:tblGrid/>
      <w:tr>
        <w:trPr>
          <w:cnfStyle w:firstRow="1"/>
        </w:trPr>
        <w:tc>
          <w:tcPr>
            <w:tcBorders>
              <w:bottom w:val="single"/>
            </w:tcBorders>
            <w:vAlign w:val="bottom"/>
          </w:tcPr>
          <w:p>
            <w:pPr>
              <w:pStyle w:val="Compact"/>
              <w:jc w:val="left"/>
            </w:pPr>
            <w:r>
              <w:t xml:space="preserve">Alternative</w:t>
            </w:r>
          </w:p>
        </w:tc>
        <w:tc>
          <w:tcPr>
            <w:tcBorders>
              <w:bottom w:val="single"/>
            </w:tcBorders>
            <w:vAlign w:val="bottom"/>
          </w:tcPr>
          <w:p>
            <w:pPr>
              <w:pStyle w:val="Compact"/>
              <w:jc w:val="left"/>
            </w:pPr>
            <w:r>
              <w:t xml:space="preserve">Why it was not chosen</w:t>
            </w:r>
          </w:p>
        </w:tc>
      </w:tr>
      <w:tr>
        <w:tc>
          <w:p>
            <w:pPr>
              <w:pStyle w:val="Compact"/>
              <w:jc w:val="left"/>
            </w:pPr>
            <w:r>
              <w:t xml:space="preserve">Do nothing</w:t>
            </w:r>
          </w:p>
        </w:tc>
        <w:tc>
          <w:p/>
        </w:tc>
      </w:tr>
      <w:tr>
        <w:tc>
          <w:p/>
        </w:tc>
        <w:tc>
          <w:p/>
        </w:tc>
      </w:tr>
    </w:tbl>
    <w:p>
      <w:pPr>
        <w:pStyle w:val="Heading2"/>
      </w:pPr>
      <w:bookmarkStart w:id="42" w:name="approval-and-changes"/>
      <w:r>
        <w:t xml:space="preserve">8. Approval and changes</w:t>
      </w:r>
      <w:bookmarkEnd w:id="42"/>
    </w:p>
    <w:tbl>
      <w:tblPr>
        <w:tblStyle w:val="Table"/>
        <w:tblW w:type="pct" w:w="0.0"/>
        <w:tblLook w:firstRow="1"/>
      </w:tblPr>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Entry</w:t>
            </w:r>
          </w:p>
        </w:tc>
      </w:tr>
      <w:tr>
        <w:tc>
          <w:p>
            <w:pPr>
              <w:pStyle w:val="Compact"/>
              <w:jc w:val="left"/>
            </w:pPr>
            <w:r>
              <w:t xml:space="preserve">Approved by (decision authority)</w:t>
            </w:r>
          </w:p>
        </w:tc>
        <w:tc>
          <w:p/>
        </w:tc>
      </w:tr>
      <w:tr>
        <w:tc>
          <w:p>
            <w:pPr>
              <w:pStyle w:val="Compact"/>
              <w:jc w:val="left"/>
            </w:pPr>
            <w:r>
              <w:t xml:space="preserve">Date</w:t>
            </w:r>
          </w:p>
        </w:tc>
        <w:tc>
          <w:p/>
        </w:tc>
      </w:tr>
    </w:tbl>
    <w:p>
      <w:pPr>
        <w:pStyle w:val="BodyText"/>
      </w:pPr>
      <w:r>
        <w:rPr>
          <w:b/>
        </w:rPr>
        <w:t xml:space="preserve">Changes after approval.</w:t>
      </w:r>
      <w:r>
        <w:t xml:space="preserve"> </w:t>
      </w:r>
      <w:r>
        <w:t xml:space="preserve">A change to an outcome, metric, baseline or target is recorded here. The original stays in section 2 and is not overwritten.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Date</w:t>
            </w:r>
          </w:p>
        </w:tc>
        <w:tc>
          <w:tcPr>
            <w:tcBorders>
              <w:bottom w:val="single"/>
            </w:tcBorders>
            <w:vAlign w:val="bottom"/>
          </w:tcPr>
          <w:p>
            <w:pPr>
              <w:pStyle w:val="Compact"/>
              <w:jc w:val="left"/>
            </w:pPr>
            <w:r>
              <w:t xml:space="preserve">Outcome ID</w:t>
            </w:r>
          </w:p>
        </w:tc>
        <w:tc>
          <w:tcPr>
            <w:tcBorders>
              <w:bottom w:val="single"/>
            </w:tcBorders>
            <w:vAlign w:val="bottom"/>
          </w:tcPr>
          <w:p>
            <w:pPr>
              <w:pStyle w:val="Compact"/>
              <w:jc w:val="left"/>
            </w:pPr>
            <w:r>
              <w:t xml:space="preserve">What changed</w:t>
            </w:r>
          </w:p>
        </w:tc>
        <w:tc>
          <w:tcPr>
            <w:tcBorders>
              <w:bottom w:val="single"/>
            </w:tcBorders>
            <w:vAlign w:val="bottom"/>
          </w:tcPr>
          <w:p>
            <w:pPr>
              <w:pStyle w:val="Compact"/>
              <w:jc w:val="left"/>
            </w:pPr>
            <w:r>
              <w:t xml:space="preserve">Why</w:t>
            </w:r>
          </w:p>
        </w:tc>
        <w:tc>
          <w:tcPr>
            <w:tcBorders>
              <w:bottom w:val="single"/>
            </w:tcBorders>
            <w:vAlign w:val="bottom"/>
          </w:tcPr>
          <w:p>
            <w:pPr>
              <w:pStyle w:val="Compact"/>
              <w:jc w:val="left"/>
            </w:pPr>
            <w:r>
              <w:t xml:space="preserve">Approved by</w:t>
            </w:r>
          </w:p>
        </w:tc>
      </w:tr>
      <w:tr>
        <w:tc>
          <w:p/>
        </w:tc>
        <w:tc>
          <w:p/>
        </w:tc>
        <w:tc>
          <w:p/>
        </w:tc>
        <w:tc>
          <w:p/>
        </w:tc>
        <w:tc>
          <w:p/>
        </w:tc>
      </w:tr>
    </w:tbl>
    <w:p>
      <w:pPr>
        <w:pStyle w:val="Heading2"/>
      </w:pPr>
      <w:bookmarkStart w:id="43" w:name="before-you-call-it-final"/>
      <w:r>
        <w:t xml:space="preserve">Before you call it final</w:t>
      </w:r>
      <w:bookmarkEnd w:id="43"/>
    </w:p>
    <w:p>
      <w:pPr>
        <w:numPr>
          <w:ilvl w:val="0"/>
          <w:numId w:val="1003"/>
        </w:numPr>
        <w:pStyle w:val="Compact"/>
      </w:pPr>
      <w:r>
        <w:t xml:space="preserve">☐ Every outcome has a metric, a baseline (or a named readout that will set it), a target and a date.</w:t>
      </w:r>
    </w:p>
    <w:p>
      <w:pPr>
        <w:numPr>
          <w:ilvl w:val="0"/>
          <w:numId w:val="1003"/>
        </w:numPr>
        <w:pStyle w:val="Compact"/>
      </w:pPr>
      <w:r>
        <w:t xml:space="preserve">☐ Every metric is worded the same way here, in the RFV and in the contract.</w:t>
      </w:r>
    </w:p>
    <w:p>
      <w:pPr>
        <w:numPr>
          <w:ilvl w:val="0"/>
          <w:numId w:val="1003"/>
        </w:numPr>
        <w:pStyle w:val="Compact"/>
      </w:pPr>
      <w:r>
        <w:t xml:space="preserve">☐ Every assumption has a test and a check date.</w:t>
      </w:r>
    </w:p>
    <w:p>
      <w:pPr>
        <w:numPr>
          <w:ilvl w:val="0"/>
          <w:numId w:val="1003"/>
        </w:numPr>
        <w:pStyle w:val="Compact"/>
      </w:pPr>
      <w:r>
        <w:t xml:space="preserve">☐ Every outcome is held by a role, not a named person.</w:t>
      </w:r>
    </w:p>
    <w:p>
      <w:pPr>
        <w:numPr>
          <w:ilvl w:val="0"/>
          <w:numId w:val="1003"/>
        </w:numPr>
        <w:pStyle w:val="Compact"/>
      </w:pPr>
      <w:r>
        <w:t xml:space="preserve">☐ The first readout date and the audit date are set.</w:t>
      </w:r>
    </w:p>
    <w:p>
      <w:r>
        <w:pict>
          <v:rect style="width:0;height:1.5pt" o:hralign="center" o:hrstd="t" o:hr="t"/>
        </w:pict>
      </w:r>
    </w:p>
    <w:p>
      <w:pPr>
        <w:pStyle w:val="FirstParagraph"/>
      </w:pPr>
      <w:r>
        <w:rPr>
          <w:i/>
        </w:rPr>
        <w:t xml:space="preserve">From The Value Standard by Michael Brey. valuelattice.com/guides/. Licensed CC BY 4.0.</w:t>
      </w:r>
    </w:p>
    <w:p>
      <w:r>
        <w:br w:type="page"/>
      </w:r>
    </w:p>
    <w:p>
      <w:pPr>
        <w:pStyle w:val="Heading1"/>
      </w:pPr>
      <w:bookmarkStart w:id="44" w:name="executive-readout"/>
      <w:r>
        <w:t xml:space="preserve">Executive Readout</w:t>
      </w:r>
      <w:bookmarkEnd w:id="44"/>
    </w:p>
    <w:p>
      <w:pPr>
        <w:pStyle w:val="Heading3"/>
      </w:pPr>
      <w:bookmarkStart w:id="45" w:name="X2e693d46419d9e387bb764cc92c30308bbfbf2c"/>
      <w:r>
        <w:t>How the decision is performing · Template · October 2026</w:t>
      </w:r>
      <w:bookmarkEnd w:id="45"/>
    </w:p>
    <w:p>
      <w:pPr>
        <w:pStyle w:val="FirstParagraph"/>
      </w:pPr>
      <w:r>
        <w:rPr>
          <w:b/>
        </w:rPr>
        <w:t xml:space="preserve">Part of the Decision Artifact Set. Free to use, copy, adapt and issue.</w:t>
      </w:r>
      <w:r>
        <w:t xml:space="preserve"> </w:t>
      </w:r>
      <w:r>
        <w:t xml:space="preserve">Published by Value Lattice · valuelattice.com/guides/ · Licensed CC BY 4.0</w:t>
      </w:r>
    </w:p>
    <w:p>
      <w:r>
        <w:pict>
          <v:rect style="width:0;height:1.5pt" o:hralign="center" o:hrstd="t" o:hr="t"/>
        </w:pict>
      </w:r>
    </w:p>
    <w:p>
      <w:pPr>
        <w:pStyle w:val="FirstParagraph"/>
      </w:pPr>
      <w:r>
        <w:t xml:space="preserve">Produce this on the cadence set in the Decision Memo. It reports whether the committed outcomes are arriving, whether the assumptions behind them still hold, and what the decision authority needs to decide. Project activity and milestones belong in the project plan. Two pages is enough.</w:t>
      </w:r>
    </w:p>
    <w:p>
      <w:pPr>
        <w:pStyle w:val="Heading2"/>
      </w:pPr>
      <w:bookmarkStart w:id="46" w:name="header-1"/>
      <w:r>
        <w:t xml:space="preserve">Header</w:t>
      </w:r>
      <w:bookmarkEnd w:id="46"/>
    </w:p>
    <w:tbl>
      <w:tblPr>
        <w:tblStyle w:val="Table"/>
        <w:tblW w:type="pct" w:w="0.0"/>
        <w:tblLook w:firstRow="1"/>
      </w:tblPr>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Entry</w:t>
            </w:r>
          </w:p>
        </w:tc>
      </w:tr>
      <w:tr>
        <w:tc>
          <w:p>
            <w:pPr>
              <w:pStyle w:val="Compact"/>
              <w:jc w:val="left"/>
            </w:pPr>
            <w:r>
              <w:t xml:space="preserve">Decision</w:t>
            </w:r>
          </w:p>
        </w:tc>
        <w:tc>
          <w:p/>
        </w:tc>
      </w:tr>
      <w:tr>
        <w:tc>
          <w:p>
            <w:pPr>
              <w:pStyle w:val="Compact"/>
              <w:jc w:val="left"/>
            </w:pPr>
            <w:r>
              <w:t xml:space="preserve">Decision Memo version used</w:t>
            </w:r>
          </w:p>
        </w:tc>
        <w:tc>
          <w:p/>
        </w:tc>
      </w:tr>
      <w:tr>
        <w:tc>
          <w:p>
            <w:pPr>
              <w:pStyle w:val="Compact"/>
              <w:jc w:val="left"/>
            </w:pPr>
            <w:r>
              <w:t xml:space="preserve">Readout number</w:t>
            </w:r>
          </w:p>
        </w:tc>
        <w:tc>
          <w:p/>
        </w:tc>
      </w:tr>
      <w:tr>
        <w:tc>
          <w:p>
            <w:pPr>
              <w:pStyle w:val="Compact"/>
              <w:jc w:val="left"/>
            </w:pPr>
            <w:r>
              <w:t xml:space="preserve">Period covered</w:t>
            </w:r>
          </w:p>
        </w:tc>
        <w:tc>
          <w:p/>
        </w:tc>
      </w:tr>
      <w:tr>
        <w:tc>
          <w:p>
            <w:pPr>
              <w:pStyle w:val="Compact"/>
              <w:jc w:val="left"/>
            </w:pPr>
            <w:r>
              <w:t xml:space="preserve">Months since commitment</w:t>
            </w:r>
          </w:p>
        </w:tc>
        <w:tc>
          <w:p/>
        </w:tc>
      </w:tr>
      <w:tr>
        <w:tc>
          <w:p>
            <w:pPr>
              <w:pStyle w:val="Compact"/>
              <w:jc w:val="left"/>
            </w:pPr>
            <w:r>
              <w:t xml:space="preserve">Prepared by (role)</w:t>
            </w:r>
          </w:p>
        </w:tc>
        <w:tc>
          <w:p/>
        </w:tc>
      </w:tr>
      <w:tr>
        <w:tc>
          <w:p>
            <w:pPr>
              <w:pStyle w:val="Compact"/>
              <w:jc w:val="left"/>
            </w:pPr>
            <w:r>
              <w:t xml:space="preserve">Goes to (decision authority)</w:t>
            </w:r>
          </w:p>
        </w:tc>
        <w:tc>
          <w:p/>
        </w:tc>
      </w:tr>
      <w:tr>
        <w:tc>
          <w:p>
            <w:pPr>
              <w:pStyle w:val="Compact"/>
              <w:jc w:val="left"/>
            </w:pPr>
            <w:r>
              <w:t xml:space="preserve">Date</w:t>
            </w:r>
          </w:p>
        </w:tc>
        <w:tc>
          <w:p/>
        </w:tc>
      </w:tr>
    </w:tbl>
    <w:p>
      <w:pPr>
        <w:pStyle w:val="Heading2"/>
      </w:pPr>
      <w:bookmarkStart w:id="47" w:name="summary"/>
      <w:r>
        <w:t xml:space="preserve">1. Summary</w:t>
      </w:r>
      <w:bookmarkEnd w:id="47"/>
    </w:p>
    <w:tbl>
      <w:tblPr>
        <w:tblStyle w:val="Table"/>
        <w:tblW w:type="pct" w:w="0.0"/>
        <w:tblLook w:firstRow="1"/>
      </w:tblPr>
      <w:tblGrid/>
      <w:tr>
        <w:trPr>
          <w:cnfStyle w:firstRow="1"/>
        </w:trPr>
        <w:tc>
          <w:tcPr>
            <w:tcBorders>
              <w:bottom w:val="single"/>
            </w:tcBorders>
            <w:vAlign w:val="bottom"/>
          </w:tcPr>
          <w:p>
            <w:pPr>
              <w:pStyle w:val="Compact"/>
              <w:jc w:val="left"/>
            </w:pPr>
            <w:r>
              <w:t xml:space="preserve">Question</w:t>
            </w:r>
          </w:p>
        </w:tc>
        <w:tc>
          <w:tcPr>
            <w:tcBorders>
              <w:bottom w:val="single"/>
            </w:tcBorders>
            <w:vAlign w:val="bottom"/>
          </w:tcPr>
          <w:p>
            <w:pPr>
              <w:pStyle w:val="Compact"/>
              <w:jc w:val="left"/>
            </w:pPr>
            <w:r>
              <w:t xml:space="preserve">Answer</w:t>
            </w:r>
          </w:p>
        </w:tc>
      </w:tr>
      <w:tr>
        <w:tc>
          <w:p>
            <w:pPr>
              <w:pStyle w:val="Compact"/>
              <w:jc w:val="left"/>
            </w:pPr>
            <w:r>
              <w:t xml:space="preserve">Outcomes on plan or ahead</w:t>
            </w:r>
          </w:p>
        </w:tc>
        <w:tc>
          <w:p/>
        </w:tc>
      </w:tr>
      <w:tr>
        <w:tc>
          <w:p>
            <w:pPr>
              <w:pStyle w:val="Compact"/>
              <w:jc w:val="left"/>
            </w:pPr>
            <w:r>
              <w:t xml:space="preserve">Outcomes behind or at the escalation threshold</w:t>
            </w:r>
          </w:p>
        </w:tc>
        <w:tc>
          <w:p/>
        </w:tc>
      </w:tr>
      <w:tr>
        <w:tc>
          <w:p>
            <w:pPr>
              <w:pStyle w:val="Compact"/>
              <w:jc w:val="left"/>
            </w:pPr>
            <w:r>
              <w:t xml:space="preserve">Assumptions under pressure or failed</w:t>
            </w:r>
          </w:p>
        </w:tc>
        <w:tc>
          <w:p/>
        </w:tc>
      </w:tr>
      <w:tr>
        <w:tc>
          <w:p>
            <w:pPr>
              <w:pStyle w:val="Compact"/>
              <w:jc w:val="left"/>
            </w:pPr>
            <w:r>
              <w:t xml:space="preserve">Does the decision authority need to act? If so, on what?</w:t>
            </w:r>
          </w:p>
        </w:tc>
        <w:tc>
          <w:p/>
        </w:tc>
      </w:tr>
    </w:tbl>
    <w:p>
      <w:pPr>
        <w:pStyle w:val="Heading2"/>
      </w:pPr>
      <w:bookmarkStart w:id="48" w:name="outcome-performance"/>
      <w:r>
        <w:t xml:space="preserve">2. Outcome performance</w:t>
      </w:r>
      <w:bookmarkEnd w:id="48"/>
    </w:p>
    <w:p>
      <w:pPr>
        <w:pStyle w:val="FirstParagraph"/>
      </w:pPr>
      <w:r>
        <w:t xml:space="preserve">Planned value is where the outcome should be at this point if it moves in a straight line from the baseline to the target. Status compares actual progress with planned progress. The workbook calculates both.</w:t>
      </w:r>
    </w:p>
    <w:tbl>
      <w:tblPr>
        <w:tblStyle w:val="Table"/>
        <w:tblW w:type="pct" w:w="5000.0"/>
        <w:tblLook w:firstRow="1"/>
      </w:tblPr>
      <w:tblGrid>
        <w:gridCol w:w="240"/>
        <w:gridCol w:w="960"/>
        <w:gridCol w:w="960"/>
        <w:gridCol w:w="960"/>
        <w:gridCol w:w="960"/>
        <w:gridCol w:w="960"/>
        <w:gridCol w:w="960"/>
        <w:gridCol w:w="960"/>
        <w:gridCol w:w="960"/>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Metric</w:t>
            </w:r>
          </w:p>
        </w:tc>
        <w:tc>
          <w:tcPr>
            <w:tcBorders>
              <w:bottom w:val="single"/>
            </w:tcBorders>
            <w:vAlign w:val="bottom"/>
          </w:tcPr>
          <w:p>
            <w:pPr>
              <w:pStyle w:val="Compact"/>
              <w:jc w:val="left"/>
            </w:pPr>
            <w:r>
              <w:t xml:space="preserve">Baseline</w:t>
            </w:r>
          </w:p>
        </w:tc>
        <w:tc>
          <w:tcPr>
            <w:tcBorders>
              <w:bottom w:val="single"/>
            </w:tcBorders>
            <w:vAlign w:val="bottom"/>
          </w:tcPr>
          <w:p>
            <w:pPr>
              <w:pStyle w:val="Compact"/>
              <w:jc w:val="left"/>
            </w:pPr>
            <w:r>
              <w:t xml:space="preserve">Target and date</w:t>
            </w:r>
          </w:p>
        </w:tc>
        <w:tc>
          <w:tcPr>
            <w:tcBorders>
              <w:bottom w:val="single"/>
            </w:tcBorders>
            <w:vAlign w:val="bottom"/>
          </w:tcPr>
          <w:p>
            <w:pPr>
              <w:pStyle w:val="Compact"/>
              <w:jc w:val="left"/>
            </w:pPr>
            <w:r>
              <w:t xml:space="preserve">Planned at this point</w:t>
            </w:r>
          </w:p>
        </w:tc>
        <w:tc>
          <w:tcPr>
            <w:tcBorders>
              <w:bottom w:val="single"/>
            </w:tcBorders>
            <w:vAlign w:val="bottom"/>
          </w:tcPr>
          <w:p>
            <w:pPr>
              <w:pStyle w:val="Compact"/>
              <w:jc w:val="left"/>
            </w:pPr>
            <w:r>
              <w:t xml:space="preserve">Actual</w:t>
            </w:r>
          </w:p>
        </w:tc>
        <w:tc>
          <w:tcPr>
            <w:tcBorders>
              <w:bottom w:val="single"/>
            </w:tcBorders>
            <w:vAlign w:val="bottom"/>
          </w:tcPr>
          <w:p>
            <w:pPr>
              <w:pStyle w:val="Compact"/>
              <w:jc w:val="left"/>
            </w:pPr>
            <w:r>
              <w:t xml:space="preserve">Status</w:t>
            </w:r>
          </w:p>
        </w:tc>
        <w:tc>
          <w:tcPr>
            <w:tcBorders>
              <w:bottom w:val="single"/>
            </w:tcBorders>
            <w:vAlign w:val="bottom"/>
          </w:tcPr>
          <w:p>
            <w:pPr>
              <w:pStyle w:val="Compact"/>
              <w:jc w:val="left"/>
            </w:pPr>
            <w:r>
              <w:t xml:space="preserve">Source of the actual</w:t>
            </w:r>
          </w:p>
        </w:tc>
        <w:tc>
          <w:tcPr>
            <w:tcBorders>
              <w:bottom w:val="single"/>
            </w:tcBorders>
            <w:vAlign w:val="bottom"/>
          </w:tcPr>
          <w:p>
            <w:pPr>
              <w:pStyle w:val="Compact"/>
              <w:jc w:val="left"/>
            </w:pPr>
            <w:r>
              <w:t xml:space="preserve">Note</w:t>
            </w:r>
          </w:p>
        </w:tc>
      </w:tr>
      <w:tr>
        <w:tc>
          <w:p>
            <w:pPr>
              <w:pStyle w:val="Compact"/>
              <w:jc w:val="left"/>
            </w:pPr>
            <w:r>
              <w:t xml:space="preserve">O1</w:t>
            </w:r>
          </w:p>
        </w:tc>
        <w:tc>
          <w:p/>
        </w:tc>
        <w:tc>
          <w:p/>
        </w:tc>
        <w:tc>
          <w:p/>
        </w:tc>
        <w:tc>
          <w:p/>
        </w:tc>
        <w:tc>
          <w:p/>
        </w:tc>
        <w:tc>
          <w:p/>
        </w:tc>
        <w:tc>
          <w:p/>
        </w:tc>
        <w:tc>
          <w:p/>
        </w:tc>
      </w:tr>
      <w:tr>
        <w:tc>
          <w:p>
            <w:pPr>
              <w:pStyle w:val="Compact"/>
              <w:jc w:val="left"/>
            </w:pPr>
            <w:r>
              <w:t xml:space="preserve">O2</w:t>
            </w:r>
          </w:p>
        </w:tc>
        <w:tc>
          <w:p/>
        </w:tc>
        <w:tc>
          <w:p/>
        </w:tc>
        <w:tc>
          <w:p/>
        </w:tc>
        <w:tc>
          <w:p/>
        </w:tc>
        <w:tc>
          <w:p/>
        </w:tc>
        <w:tc>
          <w:p/>
        </w:tc>
        <w:tc>
          <w:p/>
        </w:tc>
        <w:tc>
          <w:p/>
        </w:tc>
      </w:tr>
      <w:tr>
        <w:tc>
          <w:p>
            <w:pPr>
              <w:pStyle w:val="Compact"/>
              <w:jc w:val="left"/>
            </w:pPr>
            <w:r>
              <w:t xml:space="preserve">O3</w:t>
            </w:r>
          </w:p>
        </w:tc>
        <w:tc>
          <w:p/>
        </w:tc>
        <w:tc>
          <w:p/>
        </w:tc>
        <w:tc>
          <w:p/>
        </w:tc>
        <w:tc>
          <w:p/>
        </w:tc>
        <w:tc>
          <w:p/>
        </w:tc>
        <w:tc>
          <w:p/>
        </w:tc>
        <w:tc>
          <w:p/>
        </w:tc>
        <w:tc>
          <w:p/>
        </w:tc>
      </w:tr>
      <w:tr>
        <w:tc>
          <w:p>
            <w:pPr>
              <w:pStyle w:val="Compact"/>
              <w:jc w:val="left"/>
            </w:pPr>
            <w:r>
              <w:t xml:space="preserve">O4</w:t>
            </w:r>
          </w:p>
        </w:tc>
        <w:tc>
          <w:p/>
        </w:tc>
        <w:tc>
          <w:p/>
        </w:tc>
        <w:tc>
          <w:p/>
        </w:tc>
        <w:tc>
          <w:p/>
        </w:tc>
        <w:tc>
          <w:p/>
        </w:tc>
        <w:tc>
          <w:p/>
        </w:tc>
        <w:tc>
          <w:p/>
        </w:tc>
        <w:tc>
          <w:p/>
        </w:tc>
      </w:tr>
    </w:tbl>
    <w:p>
      <w:pPr>
        <w:pStyle w:val="BodyText"/>
      </w:pPr>
      <w:r>
        <w:rPr>
          <w:b/>
        </w:rPr>
        <w:t xml:space="preserve">Status values.</w:t>
      </w:r>
      <w:r>
        <w:t xml:space="preserve"> </w:t>
      </w:r>
      <w:r>
        <w:t xml:space="preserve">Target reached · On plan · Behind (short of planned progress, inside the threshold) · Escalate (past the threshold set in the memo).</w:t>
      </w:r>
    </w:p>
    <w:p>
      <w:pPr>
        <w:pStyle w:val="Heading2"/>
      </w:pPr>
      <w:bookmarkStart w:id="49" w:name="assumptions-1"/>
      <w:r>
        <w:t xml:space="preserve">3. Assumptions</w:t>
      </w:r>
      <w:bookmarkEnd w:id="49"/>
    </w:p>
    <w:tbl>
      <w:tblPr>
        <w:tblStyle w:val="Table"/>
        <w:tblW w:type="pct" w:w="5000.0"/>
        <w:tblLook w:firstRow="1"/>
      </w:tblPr>
      <w:tblGrid>
        <w:gridCol w:w="316"/>
        <w:gridCol w:w="1584"/>
        <w:gridCol w:w="2851"/>
        <w:gridCol w:w="1584"/>
        <w:gridCol w:w="1584"/>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Assumption</w:t>
            </w:r>
          </w:p>
        </w:tc>
        <w:tc>
          <w:tcPr>
            <w:tcBorders>
              <w:bottom w:val="single"/>
            </w:tcBorders>
            <w:vAlign w:val="bottom"/>
          </w:tcPr>
          <w:p>
            <w:pPr>
              <w:pStyle w:val="Compact"/>
              <w:jc w:val="left"/>
            </w:pPr>
            <w:r>
              <w:t xml:space="preserve">Status (holding, under pressure, failed)</w:t>
            </w:r>
          </w:p>
        </w:tc>
        <w:tc>
          <w:tcPr>
            <w:tcBorders>
              <w:bottom w:val="single"/>
            </w:tcBorders>
            <w:vAlign w:val="bottom"/>
          </w:tcPr>
          <w:p>
            <w:pPr>
              <w:pStyle w:val="Compact"/>
              <w:jc w:val="left"/>
            </w:pPr>
            <w:r>
              <w:t xml:space="preserve">Evidence</w:t>
            </w:r>
          </w:p>
        </w:tc>
        <w:tc>
          <w:tcPr>
            <w:tcBorders>
              <w:bottom w:val="single"/>
            </w:tcBorders>
            <w:vAlign w:val="bottom"/>
          </w:tcPr>
          <w:p>
            <w:pPr>
              <w:pStyle w:val="Compact"/>
              <w:jc w:val="left"/>
            </w:pPr>
            <w:r>
              <w:t xml:space="preserve">Effect on outcomes</w:t>
            </w:r>
          </w:p>
        </w:tc>
      </w:tr>
      <w:tr>
        <w:tc>
          <w:p>
            <w:pPr>
              <w:pStyle w:val="Compact"/>
              <w:jc w:val="left"/>
            </w:pPr>
            <w:r>
              <w:t xml:space="preserve">A1</w:t>
            </w:r>
          </w:p>
        </w:tc>
        <w:tc>
          <w:p/>
        </w:tc>
        <w:tc>
          <w:p/>
        </w:tc>
        <w:tc>
          <w:p/>
        </w:tc>
        <w:tc>
          <w:p/>
        </w:tc>
      </w:tr>
      <w:tr>
        <w:tc>
          <w:p>
            <w:pPr>
              <w:pStyle w:val="Compact"/>
              <w:jc w:val="left"/>
            </w:pPr>
            <w:r>
              <w:t xml:space="preserve">A2</w:t>
            </w:r>
          </w:p>
        </w:tc>
        <w:tc>
          <w:p/>
        </w:tc>
        <w:tc>
          <w:p/>
        </w:tc>
        <w:tc>
          <w:p/>
        </w:tc>
        <w:tc>
          <w:p/>
        </w:tc>
      </w:tr>
      <w:tr>
        <w:tc>
          <w:p>
            <w:pPr>
              <w:pStyle w:val="Compact"/>
              <w:jc w:val="left"/>
            </w:pPr>
            <w:r>
              <w:t xml:space="preserve">A3</w:t>
            </w:r>
          </w:p>
        </w:tc>
        <w:tc>
          <w:p/>
        </w:tc>
        <w:tc>
          <w:p/>
        </w:tc>
        <w:tc>
          <w:p/>
        </w:tc>
        <w:tc>
          <w:p/>
        </w:tc>
      </w:tr>
    </w:tbl>
    <w:p>
      <w:pPr>
        <w:pStyle w:val="Heading2"/>
      </w:pPr>
      <w:bookmarkStart w:id="50" w:name="emerging-risks"/>
      <w:r>
        <w:t xml:space="preserve">4. Emerging risks</w:t>
      </w:r>
      <w:bookmarkEnd w:id="50"/>
    </w:p>
    <w:tbl>
      <w:tblPr>
        <w:tblStyle w:val="Table"/>
        <w:tblW w:type="pct" w:w="0.0"/>
        <w:tblLook w:firstRow="1"/>
      </w:tblPr>
      <w:tblGrid/>
      <w:tr>
        <w:trPr>
          <w:cnfStyle w:firstRow="1"/>
        </w:trPr>
        <w:tc>
          <w:tcPr>
            <w:tcBorders>
              <w:bottom w:val="single"/>
            </w:tcBorders>
            <w:vAlign w:val="bottom"/>
          </w:tcPr>
          <w:p>
            <w:pPr>
              <w:pStyle w:val="Compact"/>
              <w:jc w:val="left"/>
            </w:pPr>
            <w:r>
              <w:t xml:space="preserve">Risk</w:t>
            </w:r>
          </w:p>
        </w:tc>
        <w:tc>
          <w:tcPr>
            <w:tcBorders>
              <w:bottom w:val="single"/>
            </w:tcBorders>
            <w:vAlign w:val="bottom"/>
          </w:tcPr>
          <w:p>
            <w:pPr>
              <w:pStyle w:val="Compact"/>
              <w:jc w:val="left"/>
            </w:pPr>
            <w:r>
              <w:t xml:space="preserve">Outcomes affected</w:t>
            </w:r>
          </w:p>
        </w:tc>
        <w:tc>
          <w:tcPr>
            <w:tcBorders>
              <w:bottom w:val="single"/>
            </w:tcBorders>
            <w:vAlign w:val="bottom"/>
          </w:tcPr>
          <w:p>
            <w:pPr>
              <w:pStyle w:val="Compact"/>
              <w:jc w:val="left"/>
            </w:pPr>
            <w:r>
              <w:t xml:space="preserve">How likely</w:t>
            </w:r>
          </w:p>
        </w:tc>
        <w:tc>
          <w:tcPr>
            <w:tcBorders>
              <w:bottom w:val="single"/>
            </w:tcBorders>
            <w:vAlign w:val="bottom"/>
          </w:tcPr>
          <w:p>
            <w:pPr>
              <w:pStyle w:val="Compact"/>
              <w:jc w:val="left"/>
            </w:pPr>
            <w:r>
              <w:t xml:space="preserve">Proposed response</w:t>
            </w:r>
          </w:p>
        </w:tc>
      </w:tr>
      <w:tr>
        <w:tc>
          <w:p/>
        </w:tc>
        <w:tc>
          <w:p/>
        </w:tc>
        <w:tc>
          <w:p/>
        </w:tc>
        <w:tc>
          <w:p/>
        </w:tc>
      </w:tr>
    </w:tbl>
    <w:p>
      <w:pPr>
        <w:pStyle w:val="Heading2"/>
      </w:pPr>
      <w:bookmarkStart w:id="51" w:name="corrections-made-this-period"/>
      <w:r>
        <w:t xml:space="preserve">5. Corrections made this period</w:t>
      </w:r>
      <w:bookmarkEnd w:id="51"/>
    </w:p>
    <w:p>
      <w:pPr>
        <w:pStyle w:val="FirstParagraph"/>
      </w:pPr>
      <w:r>
        <w:t xml:space="preserve">A correction to a target or metric is also recorded in the memo’s change table. The original target stays visible in both places.</w:t>
      </w:r>
    </w:p>
    <w:tbl>
      <w:tblPr>
        <w:tblStyle w:val="Table"/>
        <w:tblW w:type="pct" w:w="0.0"/>
        <w:tblLook w:firstRow="1"/>
      </w:tblPr>
      <w:tblGrid/>
      <w:tr>
        <w:trPr>
          <w:cnfStyle w:firstRow="1"/>
        </w:trPr>
        <w:tc>
          <w:tcPr>
            <w:tcBorders>
              <w:bottom w:val="single"/>
            </w:tcBorders>
            <w:vAlign w:val="bottom"/>
          </w:tcPr>
          <w:p>
            <w:pPr>
              <w:pStyle w:val="Compact"/>
              <w:jc w:val="left"/>
            </w:pPr>
            <w:r>
              <w:t xml:space="preserve">What was changed</w:t>
            </w:r>
          </w:p>
        </w:tc>
        <w:tc>
          <w:tcPr>
            <w:tcBorders>
              <w:bottom w:val="single"/>
            </w:tcBorders>
            <w:vAlign w:val="bottom"/>
          </w:tcPr>
          <w:p>
            <w:pPr>
              <w:pStyle w:val="Compact"/>
              <w:jc w:val="left"/>
            </w:pPr>
            <w:r>
              <w:t xml:space="preserve">Why</w:t>
            </w:r>
          </w:p>
        </w:tc>
        <w:tc>
          <w:tcPr>
            <w:tcBorders>
              <w:bottom w:val="single"/>
            </w:tcBorders>
            <w:vAlign w:val="bottom"/>
          </w:tcPr>
          <w:p>
            <w:pPr>
              <w:pStyle w:val="Compact"/>
              <w:jc w:val="left"/>
            </w:pPr>
            <w:r>
              <w:t xml:space="preserve">Approved by</w:t>
            </w:r>
          </w:p>
        </w:tc>
        <w:tc>
          <w:tcPr>
            <w:tcBorders>
              <w:bottom w:val="single"/>
            </w:tcBorders>
            <w:vAlign w:val="bottom"/>
          </w:tcPr>
          <w:p>
            <w:pPr>
              <w:pStyle w:val="Compact"/>
              <w:jc w:val="left"/>
            </w:pPr>
            <w:r>
              <w:t xml:space="preserve">Effect on targets</w:t>
            </w:r>
          </w:p>
        </w:tc>
      </w:tr>
      <w:tr>
        <w:tc>
          <w:p/>
        </w:tc>
        <w:tc>
          <w:p/>
        </w:tc>
        <w:tc>
          <w:p/>
        </w:tc>
        <w:tc>
          <w:p/>
        </w:tc>
      </w:tr>
    </w:tbl>
    <w:p>
      <w:pPr>
        <w:pStyle w:val="Heading2"/>
      </w:pPr>
      <w:bookmarkStart w:id="52" w:name="decisions-requested"/>
      <w:r>
        <w:t xml:space="preserve">6. Decisions requested</w:t>
      </w:r>
      <w:bookmarkEnd w:id="52"/>
    </w:p>
    <w:tbl>
      <w:tblPr>
        <w:tblStyle w:val="Table"/>
        <w:tblW w:type="pct" w:w="0.0"/>
        <w:tblLook w:firstRow="1"/>
      </w:tblPr>
      <w:tblGrid/>
      <w:tr>
        <w:trPr>
          <w:cnfStyle w:firstRow="1"/>
        </w:trPr>
        <w:tc>
          <w:tcPr>
            <w:tcBorders>
              <w:bottom w:val="single"/>
            </w:tcBorders>
            <w:vAlign w:val="bottom"/>
          </w:tcPr>
          <w:p>
            <w:pPr>
              <w:pStyle w:val="Compact"/>
              <w:jc w:val="left"/>
            </w:pPr>
            <w:r>
              <w:t xml:space="preserve">Decision needed</w:t>
            </w:r>
          </w:p>
        </w:tc>
        <w:tc>
          <w:tcPr>
            <w:tcBorders>
              <w:bottom w:val="single"/>
            </w:tcBorders>
            <w:vAlign w:val="bottom"/>
          </w:tcPr>
          <w:p>
            <w:pPr>
              <w:pStyle w:val="Compact"/>
              <w:jc w:val="left"/>
            </w:pPr>
            <w:r>
              <w:t xml:space="preserve">Options</w:t>
            </w:r>
          </w:p>
        </w:tc>
        <w:tc>
          <w:tcPr>
            <w:tcBorders>
              <w:bottom w:val="single"/>
            </w:tcBorders>
            <w:vAlign w:val="bottom"/>
          </w:tcPr>
          <w:p>
            <w:pPr>
              <w:pStyle w:val="Compact"/>
              <w:jc w:val="left"/>
            </w:pPr>
            <w:r>
              <w:t xml:space="preserve">Recommendation</w:t>
            </w:r>
          </w:p>
        </w:tc>
        <w:tc>
          <w:tcPr>
            <w:tcBorders>
              <w:bottom w:val="single"/>
            </w:tcBorders>
            <w:vAlign w:val="bottom"/>
          </w:tcPr>
          <w:p>
            <w:pPr>
              <w:pStyle w:val="Compact"/>
              <w:jc w:val="left"/>
            </w:pPr>
            <w:r>
              <w:t xml:space="preserve">Needed by</w:t>
            </w:r>
          </w:p>
        </w:tc>
      </w:tr>
      <w:tr>
        <w:tc>
          <w:p/>
        </w:tc>
        <w:tc>
          <w:p/>
        </w:tc>
        <w:tc>
          <w:p/>
        </w:tc>
        <w:tc>
          <w:p/>
        </w:tc>
      </w:tr>
    </w:tbl>
    <w:p>
      <w:r>
        <w:pict>
          <v:rect style="width:0;height:1.5pt" o:hralign="center" o:hrstd="t" o:hr="t"/>
        </w:pict>
      </w:r>
    </w:p>
    <w:p>
      <w:pPr>
        <w:pStyle w:val="FirstParagraph"/>
      </w:pPr>
      <w:r>
        <w:rPr>
          <w:i/>
        </w:rPr>
        <w:t xml:space="preserve">From The Value Standard by Michael Brey. valuelattice.com/guides/. Licensed CC BY 4.0.</w:t>
      </w:r>
    </w:p>
    <w:p>
      <w:r>
        <w:br w:type="page"/>
      </w:r>
    </w:p>
    <w:p>
      <w:pPr>
        <w:pStyle w:val="Heading1"/>
      </w:pPr>
      <w:bookmarkStart w:id="53" w:name="audit-record"/>
      <w:r>
        <w:t xml:space="preserve">Audit Record</w:t>
      </w:r>
      <w:bookmarkEnd w:id="53"/>
    </w:p>
    <w:p>
      <w:pPr>
        <w:pStyle w:val="Heading3"/>
      </w:pPr>
      <w:bookmarkStart w:id="54" w:name="X3965031ea43ac59ca962d4daa836714245626dd"/>
      <w:r>
        <w:t>What was committed, what arrived, and what changes next time · Template · October 2026</w:t>
      </w:r>
      <w:bookmarkEnd w:id="54"/>
    </w:p>
    <w:p>
      <w:pPr>
        <w:pStyle w:val="FirstParagraph"/>
      </w:pPr>
      <w:r>
        <w:rPr>
          <w:b/>
        </w:rPr>
        <w:t xml:space="preserve">Part of the Decision Artifact Set. Free to use, copy, adapt and issue.</w:t>
      </w:r>
      <w:r>
        <w:t xml:space="preserve"> </w:t>
      </w:r>
      <w:r>
        <w:t xml:space="preserve">Published by Value Lattice · valuelattice.com/guides/ · Licensed CC BY 4.0</w:t>
      </w:r>
    </w:p>
    <w:p>
      <w:r>
        <w:pict>
          <v:rect style="width:0;height:1.5pt" o:hralign="center" o:hrstd="t" o:hr="t"/>
        </w:pict>
      </w:r>
    </w:p>
    <w:p>
      <w:pPr>
        <w:pStyle w:val="FirstParagraph"/>
      </w:pPr>
      <w:r>
        <w:t xml:space="preserve">Write this when realization is complete, against the Decision Memo that was approved, including any recorded changes. It is a permanent record. Its last section feeds the next decision.</w:t>
      </w:r>
    </w:p>
    <w:p>
      <w:pPr>
        <w:pStyle w:val="Heading2"/>
      </w:pPr>
      <w:bookmarkStart w:id="55" w:name="header-2"/>
      <w:r>
        <w:t xml:space="preserve">Header</w:t>
      </w:r>
      <w:bookmarkEnd w:id="55"/>
    </w:p>
    <w:tbl>
      <w:tblPr>
        <w:tblStyle w:val="Table"/>
        <w:tblW w:type="pct" w:w="0.0"/>
        <w:tblLook w:firstRow="1"/>
      </w:tblPr>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Entry</w:t>
            </w:r>
          </w:p>
        </w:tc>
      </w:tr>
      <w:tr>
        <w:tc>
          <w:p>
            <w:pPr>
              <w:pStyle w:val="Compact"/>
              <w:jc w:val="left"/>
            </w:pPr>
            <w:r>
              <w:t xml:space="preserve">Decision</w:t>
            </w:r>
          </w:p>
        </w:tc>
        <w:tc>
          <w:p/>
        </w:tc>
      </w:tr>
      <w:tr>
        <w:tc>
          <w:p>
            <w:pPr>
              <w:pStyle w:val="Compact"/>
              <w:jc w:val="left"/>
            </w:pPr>
            <w:r>
              <w:t xml:space="preserve">Decision Memo version used as the baseline</w:t>
            </w:r>
          </w:p>
        </w:tc>
        <w:tc>
          <w:p/>
        </w:tc>
      </w:tr>
      <w:tr>
        <w:tc>
          <w:p>
            <w:pPr>
              <w:pStyle w:val="Compact"/>
              <w:jc w:val="left"/>
            </w:pPr>
            <w:r>
              <w:t xml:space="preserve">Realization period</w:t>
            </w:r>
          </w:p>
        </w:tc>
        <w:tc>
          <w:p/>
        </w:tc>
      </w:tr>
      <w:tr>
        <w:tc>
          <w:p>
            <w:pPr>
              <w:pStyle w:val="Compact"/>
              <w:jc w:val="left"/>
            </w:pPr>
            <w:r>
              <w:t xml:space="preserve">Audit date</w:t>
            </w:r>
          </w:p>
        </w:tc>
        <w:tc>
          <w:p/>
        </w:tc>
      </w:tr>
      <w:tr>
        <w:tc>
          <w:p>
            <w:pPr>
              <w:pStyle w:val="Compact"/>
              <w:jc w:val="left"/>
            </w:pPr>
            <w:r>
              <w:t xml:space="preserve">Prepared by (role)</w:t>
            </w:r>
          </w:p>
        </w:tc>
        <w:tc>
          <w:p/>
        </w:tc>
      </w:tr>
      <w:tr>
        <w:tc>
          <w:p>
            <w:pPr>
              <w:pStyle w:val="Compact"/>
              <w:jc w:val="left"/>
            </w:pPr>
            <w:r>
              <w:t xml:space="preserve">Reviewed by (Finance role)</w:t>
            </w:r>
          </w:p>
        </w:tc>
        <w:tc>
          <w:p/>
        </w:tc>
      </w:tr>
      <w:tr>
        <w:tc>
          <w:p>
            <w:pPr>
              <w:pStyle w:val="Compact"/>
              <w:jc w:val="left"/>
            </w:pPr>
            <w:r>
              <w:t xml:space="preserve">Purchase Outcome Register row, if kept</w:t>
            </w:r>
          </w:p>
        </w:tc>
        <w:tc>
          <w:p/>
        </w:tc>
      </w:tr>
    </w:tbl>
    <w:p>
      <w:pPr>
        <w:pStyle w:val="Heading2"/>
      </w:pPr>
      <w:bookmarkStart w:id="56" w:name="outcomes-committed-against-actual"/>
      <w:r>
        <w:t xml:space="preserve">1. Outcomes: committed against actual</w:t>
      </w:r>
      <w:bookmarkEnd w:id="56"/>
    </w:p>
    <w:tbl>
      <w:tblPr>
        <w:tblStyle w:val="Table"/>
        <w:tblW w:type="pct" w:w="5000.0"/>
        <w:tblLook w:firstRow="1"/>
      </w:tblPr>
      <w:tblGrid>
        <w:gridCol w:w="232"/>
        <w:gridCol w:w="1009"/>
        <w:gridCol w:w="1009"/>
        <w:gridCol w:w="1087"/>
        <w:gridCol w:w="1087"/>
        <w:gridCol w:w="1009"/>
        <w:gridCol w:w="1475"/>
        <w:gridCol w:w="1009"/>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Metric</w:t>
            </w:r>
          </w:p>
        </w:tc>
        <w:tc>
          <w:tcPr>
            <w:tcBorders>
              <w:bottom w:val="single"/>
            </w:tcBorders>
            <w:vAlign w:val="bottom"/>
          </w:tcPr>
          <w:p>
            <w:pPr>
              <w:pStyle w:val="Compact"/>
              <w:jc w:val="left"/>
            </w:pPr>
            <w:r>
              <w:t xml:space="preserve">Baseline</w:t>
            </w:r>
          </w:p>
        </w:tc>
        <w:tc>
          <w:tcPr>
            <w:tcBorders>
              <w:bottom w:val="single"/>
            </w:tcBorders>
            <w:vAlign w:val="bottom"/>
          </w:tcPr>
          <w:p>
            <w:pPr>
              <w:pStyle w:val="Compact"/>
              <w:jc w:val="left"/>
            </w:pPr>
            <w:r>
              <w:t xml:space="preserve">Committed target and date</w:t>
            </w:r>
          </w:p>
        </w:tc>
        <w:tc>
          <w:tcPr>
            <w:tcBorders>
              <w:bottom w:val="single"/>
            </w:tcBorders>
            <w:vAlign w:val="bottom"/>
          </w:tcPr>
          <w:p>
            <w:pPr>
              <w:pStyle w:val="Compact"/>
              <w:jc w:val="left"/>
            </w:pPr>
            <w:r>
              <w:t xml:space="preserve">Actual and date measured</w:t>
            </w:r>
          </w:p>
        </w:tc>
        <w:tc>
          <w:tcPr>
            <w:tcBorders>
              <w:bottom w:val="single"/>
            </w:tcBorders>
            <w:vAlign w:val="bottom"/>
          </w:tcPr>
          <w:p>
            <w:pPr>
              <w:pStyle w:val="Compact"/>
              <w:jc w:val="left"/>
            </w:pPr>
            <w:r>
              <w:t xml:space="preserve">Variance</w:t>
            </w:r>
          </w:p>
        </w:tc>
        <w:tc>
          <w:tcPr>
            <w:tcBorders>
              <w:bottom w:val="single"/>
            </w:tcBorders>
            <w:vAlign w:val="bottom"/>
          </w:tcPr>
          <w:p>
            <w:pPr>
              <w:pStyle w:val="Compact"/>
              <w:jc w:val="left"/>
            </w:pPr>
            <w:r>
              <w:t xml:space="preserve">Verdict (met, partly met, not met)</w:t>
            </w:r>
          </w:p>
        </w:tc>
        <w:tc>
          <w:tcPr>
            <w:tcBorders>
              <w:bottom w:val="single"/>
            </w:tcBorders>
            <w:vAlign w:val="bottom"/>
          </w:tcPr>
          <w:p>
            <w:pPr>
              <w:pStyle w:val="Compact"/>
              <w:jc w:val="left"/>
            </w:pPr>
            <w:r>
              <w:t xml:space="preserve">Evidence</w:t>
            </w:r>
          </w:p>
        </w:tc>
      </w:tr>
      <w:tr>
        <w:tc>
          <w:p>
            <w:pPr>
              <w:pStyle w:val="Compact"/>
              <w:jc w:val="left"/>
            </w:pPr>
            <w:r>
              <w:t xml:space="preserve">O1</w:t>
            </w:r>
          </w:p>
        </w:tc>
        <w:tc>
          <w:p/>
        </w:tc>
        <w:tc>
          <w:p/>
        </w:tc>
        <w:tc>
          <w:p/>
        </w:tc>
        <w:tc>
          <w:p/>
        </w:tc>
        <w:tc>
          <w:p/>
        </w:tc>
        <w:tc>
          <w:p/>
        </w:tc>
        <w:tc>
          <w:p/>
        </w:tc>
      </w:tr>
      <w:tr>
        <w:tc>
          <w:p>
            <w:pPr>
              <w:pStyle w:val="Compact"/>
              <w:jc w:val="left"/>
            </w:pPr>
            <w:r>
              <w:t xml:space="preserve">O2</w:t>
            </w:r>
          </w:p>
        </w:tc>
        <w:tc>
          <w:p/>
        </w:tc>
        <w:tc>
          <w:p/>
        </w:tc>
        <w:tc>
          <w:p/>
        </w:tc>
        <w:tc>
          <w:p/>
        </w:tc>
        <w:tc>
          <w:p/>
        </w:tc>
        <w:tc>
          <w:p/>
        </w:tc>
        <w:tc>
          <w:p/>
        </w:tc>
      </w:tr>
      <w:tr>
        <w:tc>
          <w:p>
            <w:pPr>
              <w:pStyle w:val="Compact"/>
              <w:jc w:val="left"/>
            </w:pPr>
            <w:r>
              <w:t xml:space="preserve">O3</w:t>
            </w:r>
          </w:p>
        </w:tc>
        <w:tc>
          <w:p/>
        </w:tc>
        <w:tc>
          <w:p/>
        </w:tc>
        <w:tc>
          <w:p/>
        </w:tc>
        <w:tc>
          <w:p/>
        </w:tc>
        <w:tc>
          <w:p/>
        </w:tc>
        <w:tc>
          <w:p/>
        </w:tc>
        <w:tc>
          <w:p/>
        </w:tc>
      </w:tr>
      <w:tr>
        <w:tc>
          <w:p>
            <w:pPr>
              <w:pStyle w:val="Compact"/>
              <w:jc w:val="left"/>
            </w:pPr>
            <w:r>
              <w:t xml:space="preserve">O4</w:t>
            </w:r>
          </w:p>
        </w:tc>
        <w:tc>
          <w:p/>
        </w:tc>
        <w:tc>
          <w:p/>
        </w:tc>
        <w:tc>
          <w:p/>
        </w:tc>
        <w:tc>
          <w:p/>
        </w:tc>
        <w:tc>
          <w:p/>
        </w:tc>
        <w:tc>
          <w:p/>
        </w:tc>
        <w:tc>
          <w:p/>
        </w:tc>
      </w:tr>
    </w:tbl>
    <w:p>
      <w:pPr>
        <w:pStyle w:val="BodyText"/>
      </w:pPr>
      <w:r>
        <w:rPr>
          <w:b/>
        </w:rPr>
        <w:t xml:space="preserve">Verdict rule used in the workbook.</w:t>
      </w:r>
      <w:r>
        <w:t xml:space="preserve"> </w:t>
      </w:r>
      <w:r>
        <w:t xml:space="preserve">Met: the full planned change arrived. Partly met: at least half of it arrived. Not met: less than half. Adjust the rule if your organization uses another one, and say so here.</w:t>
      </w:r>
    </w:p>
    <w:p>
      <w:pPr>
        <w:pStyle w:val="Heading2"/>
      </w:pPr>
      <w:bookmarkStart w:id="57" w:name="causes-of-variance"/>
      <w:r>
        <w:t xml:space="preserve">2. Causes of variance</w:t>
      </w:r>
      <w:bookmarkEnd w:id="57"/>
    </w:p>
    <w:tbl>
      <w:tblPr>
        <w:tblStyle w:val="Table"/>
        <w:tblW w:type="pct" w:w="5000.0"/>
        <w:tblLook w:firstRow="1"/>
      </w:tblPr>
      <w:tblGrid>
        <w:gridCol w:w="1108"/>
        <w:gridCol w:w="1108"/>
        <w:gridCol w:w="2059"/>
        <w:gridCol w:w="2059"/>
        <w:gridCol w:w="1584"/>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Cause</w:t>
            </w:r>
          </w:p>
        </w:tc>
        <w:tc>
          <w:tcPr>
            <w:tcBorders>
              <w:bottom w:val="single"/>
            </w:tcBorders>
            <w:vAlign w:val="bottom"/>
          </w:tcPr>
          <w:p>
            <w:pPr>
              <w:pStyle w:val="Compact"/>
              <w:jc w:val="left"/>
            </w:pPr>
            <w:r>
              <w:t xml:space="preserve">Whose condition (buyer, vendor, both, external)</w:t>
            </w:r>
          </w:p>
        </w:tc>
        <w:tc>
          <w:tcPr>
            <w:tcBorders>
              <w:bottom w:val="single"/>
            </w:tcBorders>
            <w:vAlign w:val="bottom"/>
          </w:tcPr>
          <w:p>
            <w:pPr>
              <w:pStyle w:val="Compact"/>
              <w:jc w:val="left"/>
            </w:pPr>
            <w:r>
              <w:t xml:space="preserve">Was it named as an assumption in the memo?</w:t>
            </w:r>
          </w:p>
        </w:tc>
        <w:tc>
          <w:tcPr>
            <w:tcBorders>
              <w:bottom w:val="single"/>
            </w:tcBorders>
            <w:vAlign w:val="bottom"/>
          </w:tcPr>
          <w:p>
            <w:pPr>
              <w:pStyle w:val="Compact"/>
              <w:jc w:val="left"/>
            </w:pPr>
            <w:r>
              <w:t xml:space="preserve">First visible in readout number</w:t>
            </w:r>
          </w:p>
        </w:tc>
      </w:tr>
      <w:tr>
        <w:tc>
          <w:p/>
        </w:tc>
        <w:tc>
          <w:p/>
        </w:tc>
        <w:tc>
          <w:p/>
        </w:tc>
        <w:tc>
          <w:p/>
        </w:tc>
        <w:tc>
          <w:p/>
        </w:tc>
      </w:tr>
    </w:tbl>
    <w:p>
      <w:pPr>
        <w:pStyle w:val="Heading2"/>
      </w:pPr>
      <w:bookmarkStart w:id="58" w:name="assumptions-how-they-held"/>
      <w:r>
        <w:t xml:space="preserve">3. Assumptions: how they held</w:t>
      </w:r>
      <w:bookmarkEnd w:id="58"/>
    </w:p>
    <w:tbl>
      <w:tblPr>
        <w:tblStyle w:val="Table"/>
        <w:tblW w:type="pct" w:w="5000.0"/>
        <w:tblLook w:firstRow="1"/>
      </w:tblPr>
      <w:tblGrid>
        <w:gridCol w:w="316"/>
        <w:gridCol w:w="1584"/>
        <w:gridCol w:w="2059"/>
        <w:gridCol w:w="2376"/>
        <w:gridCol w:w="1584"/>
      </w:tblGrid>
      <w:tr>
        <w:trPr>
          <w:cnfStyle w:firstRow="1"/>
        </w:trPr>
        <w:tc>
          <w:tcPr>
            <w:tcBorders>
              <w:bottom w:val="single"/>
            </w:tcBorders>
            <w:vAlign w:val="bottom"/>
          </w:tcPr>
          <w:p>
            <w:pPr>
              <w:pStyle w:val="Compact"/>
              <w:jc w:val="left"/>
            </w:pPr>
            <w:r>
              <w:t xml:space="preserve">ID</w:t>
            </w:r>
          </w:p>
        </w:tc>
        <w:tc>
          <w:tcPr>
            <w:tcBorders>
              <w:bottom w:val="single"/>
            </w:tcBorders>
            <w:vAlign w:val="bottom"/>
          </w:tcPr>
          <w:p>
            <w:pPr>
              <w:pStyle w:val="Compact"/>
              <w:jc w:val="left"/>
            </w:pPr>
            <w:r>
              <w:t xml:space="preserve">Assumption</w:t>
            </w:r>
          </w:p>
        </w:tc>
        <w:tc>
          <w:tcPr>
            <w:tcBorders>
              <w:bottom w:val="single"/>
            </w:tcBorders>
            <w:vAlign w:val="bottom"/>
          </w:tcPr>
          <w:p>
            <w:pPr>
              <w:pStyle w:val="Compact"/>
              <w:jc w:val="left"/>
            </w:pPr>
            <w:r>
              <w:t xml:space="preserve">Held, partly held, or failed</w:t>
            </w:r>
          </w:p>
        </w:tc>
        <w:tc>
          <w:tcPr>
            <w:tcBorders>
              <w:bottom w:val="single"/>
            </w:tcBorders>
            <w:vAlign w:val="bottom"/>
          </w:tcPr>
          <w:p>
            <w:pPr>
              <w:pStyle w:val="Compact"/>
              <w:jc w:val="left"/>
            </w:pPr>
            <w:r>
              <w:t xml:space="preserve">When the readouts first showed it</w:t>
            </w:r>
          </w:p>
        </w:tc>
        <w:tc>
          <w:tcPr>
            <w:tcBorders>
              <w:bottom w:val="single"/>
            </w:tcBorders>
            <w:vAlign w:val="bottom"/>
          </w:tcPr>
          <w:p>
            <w:pPr>
              <w:pStyle w:val="Compact"/>
              <w:jc w:val="left"/>
            </w:pPr>
            <w:r>
              <w:t xml:space="preserve">What was done</w:t>
            </w:r>
          </w:p>
        </w:tc>
      </w:tr>
      <w:tr>
        <w:tc>
          <w:p>
            <w:pPr>
              <w:pStyle w:val="Compact"/>
              <w:jc w:val="left"/>
            </w:pPr>
            <w:r>
              <w:t xml:space="preserve">A1</w:t>
            </w:r>
          </w:p>
        </w:tc>
        <w:tc>
          <w:p/>
        </w:tc>
        <w:tc>
          <w:p/>
        </w:tc>
        <w:tc>
          <w:p/>
        </w:tc>
        <w:tc>
          <w:p/>
        </w:tc>
      </w:tr>
      <w:tr>
        <w:tc>
          <w:p>
            <w:pPr>
              <w:pStyle w:val="Compact"/>
              <w:jc w:val="left"/>
            </w:pPr>
            <w:r>
              <w:t xml:space="preserve">A2</w:t>
            </w:r>
          </w:p>
        </w:tc>
        <w:tc>
          <w:p/>
        </w:tc>
        <w:tc>
          <w:p/>
        </w:tc>
        <w:tc>
          <w:p/>
        </w:tc>
        <w:tc>
          <w:p/>
        </w:tc>
      </w:tr>
      <w:tr>
        <w:tc>
          <w:p>
            <w:pPr>
              <w:pStyle w:val="Compact"/>
              <w:jc w:val="left"/>
            </w:pPr>
            <w:r>
              <w:t xml:space="preserve">A3</w:t>
            </w:r>
          </w:p>
        </w:tc>
        <w:tc>
          <w:p/>
        </w:tc>
        <w:tc>
          <w:p/>
        </w:tc>
        <w:tc>
          <w:p/>
        </w:tc>
        <w:tc>
          <w:p/>
        </w:tc>
      </w:tr>
    </w:tbl>
    <w:p>
      <w:pPr>
        <w:pStyle w:val="Heading2"/>
      </w:pPr>
      <w:bookmarkStart w:id="59" w:name="cost-committed-against-actual"/>
      <w:r>
        <w:t xml:space="preserve">4. Cost: committed against actual</w:t>
      </w:r>
      <w:bookmarkEnd w:id="59"/>
    </w:p>
    <w:tbl>
      <w:tblPr>
        <w:tblStyle w:val="Table"/>
        <w:tblW w:type="pct" w:w="0.0"/>
        <w:tblLook w:firstRow="1"/>
      </w:tblPr>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Committed</w:t>
            </w:r>
          </w:p>
        </w:tc>
        <w:tc>
          <w:tcPr>
            <w:tcBorders>
              <w:bottom w:val="single"/>
            </w:tcBorders>
            <w:vAlign w:val="bottom"/>
          </w:tcPr>
          <w:p>
            <w:pPr>
              <w:pStyle w:val="Compact"/>
              <w:jc w:val="left"/>
            </w:pPr>
            <w:r>
              <w:t xml:space="preserve">Actual</w:t>
            </w:r>
          </w:p>
        </w:tc>
        <w:tc>
          <w:tcPr>
            <w:tcBorders>
              <w:bottom w:val="single"/>
            </w:tcBorders>
            <w:vAlign w:val="bottom"/>
          </w:tcPr>
          <w:p>
            <w:pPr>
              <w:pStyle w:val="Compact"/>
              <w:jc w:val="left"/>
            </w:pPr>
            <w:r>
              <w:t xml:space="preserve">Variance</w:t>
            </w:r>
          </w:p>
        </w:tc>
        <w:tc>
          <w:tcPr>
            <w:tcBorders>
              <w:bottom w:val="single"/>
            </w:tcBorders>
            <w:vAlign w:val="bottom"/>
          </w:tcPr>
          <w:p>
            <w:pPr>
              <w:pStyle w:val="Compact"/>
              <w:jc w:val="left"/>
            </w:pPr>
            <w:r>
              <w:t xml:space="preserve">Reason</w:t>
            </w:r>
          </w:p>
        </w:tc>
      </w:tr>
      <w:tr>
        <w:tc>
          <w:p>
            <w:pPr>
              <w:pStyle w:val="Compact"/>
              <w:jc w:val="left"/>
            </w:pPr>
            <w:r>
              <w:t xml:space="preserve">One-time cost</w:t>
            </w:r>
          </w:p>
        </w:tc>
        <w:tc>
          <w:p/>
        </w:tc>
        <w:tc>
          <w:p/>
        </w:tc>
        <w:tc>
          <w:p/>
        </w:tc>
        <w:tc>
          <w:p/>
        </w:tc>
      </w:tr>
      <w:tr>
        <w:tc>
          <w:p>
            <w:pPr>
              <w:pStyle w:val="Compact"/>
              <w:jc w:val="left"/>
            </w:pPr>
            <w:r>
              <w:t xml:space="preserve">Recurring cost</w:t>
            </w:r>
          </w:p>
        </w:tc>
        <w:tc>
          <w:p/>
        </w:tc>
        <w:tc>
          <w:p/>
        </w:tc>
        <w:tc>
          <w:p/>
        </w:tc>
        <w:tc>
          <w:p/>
        </w:tc>
      </w:tr>
      <w:tr>
        <w:tc>
          <w:p>
            <w:pPr>
              <w:pStyle w:val="Compact"/>
              <w:jc w:val="left"/>
            </w:pPr>
            <w:r>
              <w:t xml:space="preserve">Internal effort</w:t>
            </w:r>
          </w:p>
        </w:tc>
        <w:tc>
          <w:p/>
        </w:tc>
        <w:tc>
          <w:p/>
        </w:tc>
        <w:tc>
          <w:p/>
        </w:tc>
        <w:tc>
          <w:p/>
        </w:tc>
      </w:tr>
    </w:tbl>
    <w:p>
      <w:pPr>
        <w:pStyle w:val="Heading2"/>
      </w:pPr>
      <w:bookmarkStart w:id="60" w:name="lessons-written-as-changes"/>
      <w:r>
        <w:t xml:space="preserve">5. Lessons, written as changes</w:t>
      </w:r>
      <w:bookmarkEnd w:id="60"/>
    </w:p>
    <w:p>
      <w:pPr>
        <w:pStyle w:val="FirstParagraph"/>
      </w:pPr>
      <w:r>
        <w:t xml:space="preserve">Each lesson names what the next decision will do differently and where that change goes.</w:t>
      </w:r>
    </w:p>
    <w:tbl>
      <w:tblPr>
        <w:tblStyle w:val="Table"/>
        <w:tblW w:type="pct" w:w="5000.0"/>
        <w:tblLook w:firstRow="1"/>
      </w:tblPr>
      <w:tblGrid>
        <w:gridCol w:w="2059"/>
        <w:gridCol w:w="2059"/>
        <w:gridCol w:w="3801"/>
      </w:tblGrid>
      <w:tr>
        <w:trPr>
          <w:cnfStyle w:firstRow="1"/>
        </w:trPr>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Change to apply</w:t>
            </w:r>
          </w:p>
        </w:tc>
        <w:tc>
          <w:tcPr>
            <w:tcBorders>
              <w:bottom w:val="single"/>
            </w:tcBorders>
            <w:vAlign w:val="bottom"/>
          </w:tcPr>
          <w:p>
            <w:pPr>
              <w:pStyle w:val="Compact"/>
              <w:jc w:val="left"/>
            </w:pPr>
            <w:r>
              <w:t xml:space="preserve">Where it goes (next memo’s assumptions, RFV evidence requirements, contract terms, vendor evaluation)</w:t>
            </w:r>
          </w:p>
        </w:tc>
      </w:tr>
      <w:tr>
        <w:tc>
          <w:p/>
        </w:tc>
        <w:tc>
          <w:p/>
        </w:tc>
        <w:tc>
          <w:p/>
        </w:tc>
      </w:tr>
      <w:tr>
        <w:tc>
          <w:p/>
        </w:tc>
        <w:tc>
          <w:p/>
        </w:tc>
        <w:tc>
          <w:p/>
        </w:tc>
      </w:tr>
    </w:tbl>
    <w:p>
      <w:pPr>
        <w:pStyle w:val="Heading2"/>
      </w:pPr>
      <w:bookmarkStart w:id="61" w:name="vendor-record"/>
      <w:r>
        <w:t xml:space="preserve">6. Vendor record</w:t>
      </w:r>
      <w:bookmarkEnd w:id="61"/>
    </w:p>
    <w:p>
      <w:pPr>
        <w:pStyle w:val="FirstParagraph"/>
      </w:pPr>
      <w:r>
        <w:t xml:space="preserve">What the vendor delivered against its own conditions, stated plainly. A future evaluation can rely on a result the buyer verified.</w:t>
      </w:r>
    </w:p>
    <w:tbl>
      <w:tblPr>
        <w:tblStyle w:val="Table"/>
        <w:tblW w:type="pct" w:w="0.0"/>
        <w:tblLook w:firstRow="1"/>
      </w:tblPr>
      <w:tblGrid/>
      <w:tr>
        <w:trPr>
          <w:cnfStyle w:firstRow="1"/>
        </w:trPr>
        <w:tc>
          <w:tcPr>
            <w:tcBorders>
              <w:bottom w:val="single"/>
            </w:tcBorders>
            <w:vAlign w:val="bottom"/>
          </w:tcPr>
          <w:p>
            <w:pPr>
              <w:pStyle w:val="Compact"/>
              <w:jc w:val="left"/>
            </w:pPr>
            <w:r>
              <w:t xml:space="preserve">Vendor condition</w:t>
            </w:r>
          </w:p>
        </w:tc>
        <w:tc>
          <w:tcPr>
            <w:tcBorders>
              <w:bottom w:val="single"/>
            </w:tcBorders>
            <w:vAlign w:val="bottom"/>
          </w:tcPr>
          <w:p>
            <w:pPr>
              <w:pStyle w:val="Compact"/>
              <w:jc w:val="left"/>
            </w:pPr>
            <w:r>
              <w:t xml:space="preserve">Met?</w:t>
            </w:r>
          </w:p>
        </w:tc>
        <w:tc>
          <w:tcPr>
            <w:tcBorders>
              <w:bottom w:val="single"/>
            </w:tcBorders>
            <w:vAlign w:val="bottom"/>
          </w:tcPr>
          <w:p>
            <w:pPr>
              <w:pStyle w:val="Compact"/>
              <w:jc w:val="left"/>
            </w:pPr>
            <w:r>
              <w:t xml:space="preserve">Note</w:t>
            </w:r>
          </w:p>
        </w:tc>
      </w:tr>
      <w:tr>
        <w:tc>
          <w:p/>
        </w:tc>
        <w:tc>
          <w:p/>
        </w:tc>
        <w:tc>
          <w:p/>
        </w:tc>
      </w:tr>
    </w:tbl>
    <w:p>
      <w:pPr>
        <w:pStyle w:val="Heading2"/>
      </w:pPr>
      <w:bookmarkStart w:id="62" w:name="sign-off"/>
      <w:r>
        <w:t xml:space="preserve">7. Sign-off</w:t>
      </w:r>
      <w:bookmarkEnd w:id="62"/>
    </w:p>
    <w:tbl>
      <w:tblPr>
        <w:tblStyle w:val="Table"/>
        <w:tblW w:type="pct" w:w="0.0"/>
        <w:tblLook w:firstRow="1"/>
      </w:tblPr>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Entry</w:t>
            </w:r>
          </w:p>
        </w:tc>
      </w:tr>
      <w:tr>
        <w:tc>
          <w:p>
            <w:pPr>
              <w:pStyle w:val="Compact"/>
              <w:jc w:val="left"/>
            </w:pPr>
            <w:r>
              <w:t xml:space="preserve">Signed off by</w:t>
            </w:r>
          </w:p>
        </w:tc>
        <w:tc>
          <w:p/>
        </w:tc>
      </w:tr>
      <w:tr>
        <w:tc>
          <w:p>
            <w:pPr>
              <w:pStyle w:val="Compact"/>
              <w:jc w:val="left"/>
            </w:pPr>
            <w:r>
              <w:t xml:space="preserve">Date</w:t>
            </w:r>
          </w:p>
        </w:tc>
        <w:tc>
          <w:p/>
        </w:tc>
      </w:tr>
      <w:tr>
        <w:tc>
          <w:p>
            <w:pPr>
              <w:pStyle w:val="Compact"/>
              <w:jc w:val="left"/>
            </w:pPr>
            <w:r>
              <w:t xml:space="preserve">Filed at</w:t>
            </w:r>
          </w:p>
        </w:tc>
        <w:tc>
          <w:p/>
        </w:tc>
      </w:tr>
    </w:tbl>
    <w:p>
      <w:r>
        <w:pict>
          <v:rect style="width:0;height:1.5pt" o:hralign="center" o:hrstd="t" o:hr="t"/>
        </w:pict>
      </w:r>
    </w:p>
    <w:p>
      <w:pPr>
        <w:pStyle w:val="FirstParagraph"/>
      </w:pPr>
      <w:r>
        <w:rPr>
          <w:i/>
        </w:rPr>
        <w:t xml:space="preserve">From The Value Standard by Michael Brey. valuelattice.com/guides/. Licensed CC BY 4.0.</w:t>
      </w:r>
    </w:p>
    <w:sectPr>
      <w:headerReference w:type="default" r:id="rId9"/>
      <w:footerReference w:type="default" r:id="rId10"/>
      <w:pgMar w:left="1008" w:right="100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Artifact Set</dc:title>
  <dc:creator>Michael Brey</dc:creator>
  <cp:keywords/>
  <dcterms:created xsi:type="dcterms:W3CDTF">2026-10-08T13:29:51Z</dcterms:created>
  <dcterms:modified xsi:type="dcterms:W3CDTF">2026-10-13T00:01:16Z</dcterms:modified>
  <cp:lastModifiedBy>Michael Brey</cp:lastModifiedBy>
  <dc:description/>
  <dc:subject>The Value Standard</dc:subject>
</cp:coreProperties>
</file>

<file path=docProps/custom.xml><?xml version="1.0" encoding="utf-8"?>
<Properties xmlns="http://schemas.openxmlformats.org/officeDocument/2006/custom-properties" xmlns:vt="http://schemas.openxmlformats.org/officeDocument/2006/docPropsVTypes"/>
</file>